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D3B839B">
      <w:pPr>
        <w:jc w:val="center"/>
        <w:rPr>
          <w:rFonts w:hint="eastAsia" w:ascii="黑体" w:eastAsia="黑体"/>
          <w:color w:val="000000"/>
          <w:sz w:val="32"/>
        </w:rPr>
      </w:pPr>
      <w:r>
        <w:rPr>
          <w:rFonts w:hint="eastAsia" w:ascii="黑体" w:eastAsia="黑体"/>
          <w:b/>
          <w:color w:val="000000"/>
          <w:sz w:val="52"/>
          <w:szCs w:val="52"/>
          <w:vertAlign w:val="baseline"/>
          <w:lang w:val="en-US" w:eastAsia="zh-CN"/>
        </w:rPr>
        <w:t>药品追溯码高拍仪、配电室配件采购项目</w:t>
      </w:r>
    </w:p>
    <w:p w14:paraId="5DA65244">
      <w:pPr>
        <w:rPr>
          <w:rFonts w:hint="eastAsia" w:ascii="黑体" w:eastAsia="黑体"/>
          <w:color w:val="000000"/>
          <w:sz w:val="32"/>
        </w:rPr>
      </w:pPr>
    </w:p>
    <w:p w14:paraId="3ED24482">
      <w:pPr>
        <w:rPr>
          <w:rFonts w:hint="eastAsia" w:ascii="黑体" w:eastAsia="黑体"/>
          <w:color w:val="000000"/>
          <w:sz w:val="32"/>
        </w:rPr>
      </w:pPr>
    </w:p>
    <w:p w14:paraId="5714DF38">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57</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7</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14</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青岛市妇女儿童医院药品追溯码高拍仪、配电室配件采购项目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1、项目名称：青岛市妇女儿童医院药品追溯码高拍仪、配电室配件采购项目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57</w:t>
      </w:r>
    </w:p>
    <w:p w14:paraId="02F18382">
      <w:pPr>
        <w:spacing w:line="360" w:lineRule="auto"/>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详见采购文件</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15</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17</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分别包装密封，注明报价项目的名称及“正本”或“副本”及</w:t>
      </w:r>
      <w:r>
        <w:rPr>
          <w:rFonts w:hint="eastAsia" w:ascii="仿宋" w:hAnsi="仿宋" w:eastAsia="仿宋" w:cs="宋体"/>
          <w:b/>
          <w:bCs/>
          <w:color w:val="000000"/>
          <w:sz w:val="24"/>
          <w:szCs w:val="24"/>
          <w:vertAlign w:val="baseline"/>
          <w:lang w:val="en-US" w:eastAsia="zh-CN"/>
        </w:rPr>
        <w:t>报名的包组</w:t>
      </w:r>
      <w:r>
        <w:rPr>
          <w:rFonts w:hint="eastAsia" w:ascii="仿宋" w:hAnsi="仿宋" w:eastAsia="仿宋" w:cs="宋体"/>
          <w:color w:val="000000"/>
          <w:sz w:val="24"/>
          <w:szCs w:val="24"/>
          <w:vertAlign w:val="baseline"/>
          <w:lang w:val="en-US" w:eastAsia="zh-CN"/>
        </w:rPr>
        <w:t>。</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23C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02DD42C">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报名包组</w:t>
            </w:r>
            <w:r>
              <w:rPr>
                <w:rFonts w:hint="eastAsia" w:ascii="仿宋" w:hAnsi="仿宋" w:eastAsia="仿宋" w:cs="仿宋"/>
                <w:sz w:val="44"/>
                <w:szCs w:val="44"/>
              </w:rPr>
              <w:t>*</w:t>
            </w:r>
          </w:p>
        </w:tc>
        <w:tc>
          <w:tcPr>
            <w:tcW w:w="5958" w:type="dxa"/>
            <w:noWrap w:val="0"/>
            <w:vAlign w:val="bottom"/>
          </w:tcPr>
          <w:p w14:paraId="64C6EBD6">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458"/>
      <w:bookmarkStart w:id="4" w:name="_Toc7005"/>
      <w:r>
        <w:rPr>
          <w:rFonts w:hint="eastAsia" w:ascii="仿宋" w:hAnsi="仿宋" w:eastAsia="仿宋" w:cs="宋体"/>
          <w:bCs/>
          <w:color w:val="000000"/>
          <w:sz w:val="32"/>
          <w:szCs w:val="32"/>
          <w:lang w:val="en-US" w:eastAsia="zh-CN"/>
        </w:rPr>
        <w:t>采购需求</w:t>
      </w:r>
      <w:bookmarkEnd w:id="3"/>
      <w:bookmarkEnd w:id="4"/>
    </w:p>
    <w:p w14:paraId="5C19E669">
      <w:pPr>
        <w:numPr>
          <w:ilvl w:val="0"/>
          <w:numId w:val="3"/>
        </w:numPr>
        <w:spacing w:line="360" w:lineRule="auto"/>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w:t>
      </w:r>
      <w:r>
        <w:rPr>
          <w:rFonts w:hint="eastAsia" w:ascii="仿宋" w:hAnsi="仿宋" w:eastAsia="仿宋" w:cs="宋体"/>
          <w:color w:val="000000"/>
          <w:sz w:val="24"/>
          <w:szCs w:val="24"/>
          <w:vertAlign w:val="baseline"/>
          <w:lang w:val="en-US" w:eastAsia="zh-CN"/>
        </w:rPr>
        <w:t>药品追溯码高拍仪、配电室配件采购项目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w:t>
      </w:r>
      <w:r>
        <w:rPr>
          <w:rFonts w:hint="eastAsia" w:ascii="仿宋" w:hAnsi="仿宋" w:eastAsia="仿宋" w:cs="宋体"/>
          <w:color w:val="000000"/>
          <w:sz w:val="24"/>
          <w:szCs w:val="24"/>
          <w:vertAlign w:val="baseline"/>
          <w:lang w:val="en-US" w:eastAsia="zh-CN"/>
        </w:rPr>
        <w:t>057</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p w14:paraId="7FC28E7E">
      <w:pPr>
        <w:numPr>
          <w:ilvl w:val="0"/>
          <w:numId w:val="0"/>
        </w:numPr>
        <w:spacing w:line="360" w:lineRule="auto"/>
        <w:rPr>
          <w:rFonts w:hint="default"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第一包 药品追溯码高拍仪（采购预算12000元）</w:t>
      </w:r>
    </w:p>
    <w:tbl>
      <w:tblPr>
        <w:tblStyle w:val="9"/>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37"/>
        <w:gridCol w:w="4839"/>
        <w:gridCol w:w="750"/>
        <w:gridCol w:w="827"/>
        <w:gridCol w:w="742"/>
        <w:gridCol w:w="742"/>
        <w:gridCol w:w="742"/>
      </w:tblGrid>
      <w:tr w14:paraId="16CC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337" w:type="dxa"/>
            <w:vAlign w:val="center"/>
          </w:tcPr>
          <w:p w14:paraId="05FB4644">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物资名称</w:t>
            </w:r>
          </w:p>
        </w:tc>
        <w:tc>
          <w:tcPr>
            <w:tcW w:w="4839" w:type="dxa"/>
            <w:vAlign w:val="center"/>
          </w:tcPr>
          <w:p w14:paraId="34E07AF2">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728891B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52A1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337" w:type="dxa"/>
            <w:vAlign w:val="center"/>
          </w:tcPr>
          <w:p w14:paraId="175B9750">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药品追溯码高拍仪</w:t>
            </w:r>
          </w:p>
        </w:tc>
        <w:tc>
          <w:tcPr>
            <w:tcW w:w="4839" w:type="dxa"/>
            <w:vAlign w:val="center"/>
          </w:tcPr>
          <w:p w14:paraId="379A1C6B">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1、解码仪识读范围：超大范围和不同高度景深，⼀次性可识读≥30个药品追溯码；</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2、⾃动感应：⾃动检测物体进出，并迅速启动扫码，确保不重读，不漏读，节能省电;</w:t>
            </w:r>
          </w:p>
          <w:p w14:paraId="723F6CF3">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3、支持对接医院现有系统；</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4、处理器：32位;</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5、蜂鸣器：支持;</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6、免驱动，即插即用；支持识读社保卡、就诊卡</w:t>
            </w:r>
            <w:bookmarkStart w:id="5" w:name="OLE_LINK1"/>
            <w:r>
              <w:rPr>
                <w:rFonts w:hint="eastAsia" w:ascii="仿宋" w:hAnsi="仿宋" w:eastAsia="仿宋" w:cs="仿宋"/>
                <w:bCs/>
                <w:color w:val="000000"/>
                <w:sz w:val="21"/>
                <w:szCs w:val="21"/>
                <w:vertAlign w:val="baseline"/>
                <w:lang w:val="en-US" w:eastAsia="zh-CN"/>
              </w:rPr>
              <w:t>；</w:t>
            </w:r>
            <w:bookmarkEnd w:id="5"/>
          </w:p>
          <w:p w14:paraId="6A5D39B5">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7、通讯⽅式：USB CDC 通讯⽅式;</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8、光源：具备LED白光/whiteLED;</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9、解码仪摄像头：图像分辨率≥2880*1620;</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10、帧率≥30FPS;</w:t>
            </w:r>
          </w:p>
          <w:p w14:paraId="147C9333">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11、A3底板：A3尺寸底板;</w:t>
            </w:r>
            <w:r>
              <w:rPr>
                <w:rFonts w:hint="eastAsia" w:ascii="仿宋" w:hAnsi="仿宋" w:eastAsia="仿宋" w:cs="仿宋"/>
                <w:bCs/>
                <w:color w:val="000000"/>
                <w:sz w:val="21"/>
                <w:szCs w:val="21"/>
                <w:vertAlign w:val="baseline"/>
                <w:lang w:val="en-US" w:eastAsia="zh-CN"/>
              </w:rPr>
              <w:br w:type="textWrapping"/>
            </w:r>
            <w:r>
              <w:rPr>
                <w:rFonts w:hint="eastAsia" w:ascii="仿宋" w:hAnsi="仿宋" w:eastAsia="仿宋" w:cs="仿宋"/>
                <w:bCs/>
                <w:color w:val="000000"/>
                <w:sz w:val="21"/>
                <w:szCs w:val="21"/>
                <w:vertAlign w:val="baseline"/>
                <w:lang w:val="en-US" w:eastAsia="zh-CN"/>
              </w:rPr>
              <w:t>12、电源：电源适配器≥24VDC;</w:t>
            </w:r>
          </w:p>
          <w:p w14:paraId="7879FA32">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13、⼯作环境温度：-10℃-50℃，相对湿度：5%-93%（非冷凝）</w:t>
            </w:r>
          </w:p>
        </w:tc>
        <w:tc>
          <w:tcPr>
            <w:tcW w:w="750" w:type="dxa"/>
            <w:vAlign w:val="center"/>
          </w:tcPr>
          <w:p w14:paraId="0DCF324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6000</w:t>
            </w:r>
          </w:p>
        </w:tc>
        <w:tc>
          <w:tcPr>
            <w:tcW w:w="827" w:type="dxa"/>
            <w:vAlign w:val="center"/>
          </w:tcPr>
          <w:p w14:paraId="075666A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2台</w:t>
            </w:r>
          </w:p>
        </w:tc>
        <w:tc>
          <w:tcPr>
            <w:tcW w:w="742" w:type="dxa"/>
            <w:vAlign w:val="center"/>
          </w:tcPr>
          <w:p w14:paraId="2B19375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12000</w:t>
            </w:r>
          </w:p>
        </w:tc>
        <w:tc>
          <w:tcPr>
            <w:tcW w:w="742" w:type="dxa"/>
            <w:vAlign w:val="center"/>
          </w:tcPr>
          <w:p w14:paraId="7F2F270A">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17F6888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原厂质保1年以上</w:t>
            </w:r>
          </w:p>
        </w:tc>
      </w:tr>
    </w:tbl>
    <w:p w14:paraId="36DCEA3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EECEB9A">
      <w:pPr>
        <w:widowControl w:val="0"/>
        <w:numPr>
          <w:ilvl w:val="0"/>
          <w:numId w:val="0"/>
        </w:numPr>
        <w:spacing w:line="360" w:lineRule="auto"/>
        <w:jc w:val="both"/>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第二包 配电室配件（采购预算3650元）</w:t>
      </w:r>
    </w:p>
    <w:tbl>
      <w:tblPr>
        <w:tblStyle w:val="9"/>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23"/>
        <w:gridCol w:w="4853"/>
        <w:gridCol w:w="750"/>
        <w:gridCol w:w="827"/>
        <w:gridCol w:w="742"/>
        <w:gridCol w:w="814"/>
        <w:gridCol w:w="670"/>
      </w:tblGrid>
      <w:tr w14:paraId="7FDC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38BDD43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323" w:type="dxa"/>
            <w:vAlign w:val="center"/>
          </w:tcPr>
          <w:p w14:paraId="28FE5FD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物资名称</w:t>
            </w:r>
          </w:p>
        </w:tc>
        <w:tc>
          <w:tcPr>
            <w:tcW w:w="4853" w:type="dxa"/>
            <w:vAlign w:val="center"/>
          </w:tcPr>
          <w:p w14:paraId="0D281D2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3D496983">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732E7A7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3125C20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6F5CC738">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5AFA2D7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14" w:type="dxa"/>
            <w:vAlign w:val="center"/>
          </w:tcPr>
          <w:p w14:paraId="5599F646">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670" w:type="dxa"/>
            <w:vAlign w:val="center"/>
          </w:tcPr>
          <w:p w14:paraId="0425711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450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36" w:type="dxa"/>
            <w:vAlign w:val="center"/>
          </w:tcPr>
          <w:p w14:paraId="3D887A9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323" w:type="dxa"/>
            <w:shd w:val="clear" w:color="auto" w:fill="auto"/>
            <w:vAlign w:val="center"/>
          </w:tcPr>
          <w:p w14:paraId="6D25A391">
            <w:pPr>
              <w:numPr>
                <w:ilvl w:val="0"/>
                <w:numId w:val="0"/>
              </w:numPr>
              <w:spacing w:line="240" w:lineRule="auto"/>
              <w:ind w:left="0" w:leftChars="0" w:firstLine="0" w:firstLineChars="0"/>
              <w:jc w:val="center"/>
              <w:rPr>
                <w:rFonts w:hint="default" w:ascii="仿宋" w:hAnsi="仿宋" w:eastAsia="仿宋" w:cs="仿宋"/>
                <w:bCs/>
                <w:color w:val="000000"/>
                <w:kern w:val="2"/>
                <w:sz w:val="21"/>
                <w:szCs w:val="21"/>
                <w:vertAlign w:val="baseline"/>
                <w:lang w:val="en-US" w:eastAsia="zh-CN" w:bidi="ar-SA"/>
              </w:rPr>
            </w:pPr>
            <w:r>
              <w:rPr>
                <w:rFonts w:hint="eastAsia" w:ascii="仿宋" w:hAnsi="仿宋" w:eastAsia="仿宋" w:cs="仿宋"/>
                <w:bCs/>
                <w:color w:val="000000"/>
                <w:kern w:val="2"/>
                <w:sz w:val="21"/>
                <w:szCs w:val="21"/>
                <w:vertAlign w:val="baseline"/>
                <w:lang w:val="en-US" w:eastAsia="zh-CN" w:bidi="ar-SA"/>
              </w:rPr>
              <w:t>多功能数显表</w:t>
            </w:r>
          </w:p>
        </w:tc>
        <w:tc>
          <w:tcPr>
            <w:tcW w:w="4853" w:type="dxa"/>
            <w:vAlign w:val="center"/>
          </w:tcPr>
          <w:p w14:paraId="26488004">
            <w:pPr>
              <w:numPr>
                <w:ilvl w:val="0"/>
                <w:numId w:val="4"/>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参考型号（现用型号）：ZY-194/-9XY，适配高压柜数值显示；</w:t>
            </w:r>
          </w:p>
          <w:p w14:paraId="68A743D5">
            <w:pPr>
              <w:numPr>
                <w:ilvl w:val="0"/>
                <w:numId w:val="4"/>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根据</w:t>
            </w:r>
            <w:r>
              <w:rPr>
                <w:rFonts w:hint="eastAsia" w:ascii="仿宋" w:hAnsi="仿宋" w:eastAsia="仿宋" w:cs="仿宋"/>
                <w:bCs/>
                <w:color w:val="000000"/>
                <w:sz w:val="21"/>
                <w:szCs w:val="21"/>
                <w:vertAlign w:val="baseline"/>
                <w:lang w:val="en-US" w:eastAsia="zh-CN"/>
              </w:rPr>
              <w:t>归口部门</w:t>
            </w:r>
            <w:r>
              <w:rPr>
                <w:rFonts w:hint="default" w:ascii="仿宋" w:hAnsi="仿宋" w:eastAsia="仿宋" w:cs="仿宋"/>
                <w:bCs/>
                <w:color w:val="000000"/>
                <w:sz w:val="21"/>
                <w:szCs w:val="21"/>
                <w:vertAlign w:val="baseline"/>
                <w:lang w:val="en-US" w:eastAsia="zh-CN"/>
              </w:rPr>
              <w:t>安排的停电时间进行安装并调试</w:t>
            </w:r>
            <w:r>
              <w:rPr>
                <w:rFonts w:hint="eastAsia" w:ascii="仿宋" w:hAnsi="仿宋" w:eastAsia="仿宋" w:cs="仿宋"/>
                <w:bCs/>
                <w:color w:val="000000"/>
                <w:sz w:val="21"/>
                <w:szCs w:val="21"/>
                <w:vertAlign w:val="baseline"/>
                <w:lang w:val="en-US" w:eastAsia="zh-CN"/>
              </w:rPr>
              <w:t>。</w:t>
            </w:r>
          </w:p>
          <w:p w14:paraId="0FC2AA81">
            <w:pPr>
              <w:numPr>
                <w:ilvl w:val="0"/>
                <w:numId w:val="4"/>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drawing>
                <wp:anchor distT="0" distB="0" distL="114300" distR="114300" simplePos="0" relativeHeight="251659264" behindDoc="0" locked="0" layoutInCell="1" allowOverlap="1">
                  <wp:simplePos x="0" y="0"/>
                  <wp:positionH relativeFrom="column">
                    <wp:posOffset>742950</wp:posOffset>
                  </wp:positionH>
                  <wp:positionV relativeFrom="paragraph">
                    <wp:posOffset>13335</wp:posOffset>
                  </wp:positionV>
                  <wp:extent cx="1025525" cy="988695"/>
                  <wp:effectExtent l="0" t="0" r="317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025525" cy="988695"/>
                          </a:xfrm>
                          <a:prstGeom prst="rect">
                            <a:avLst/>
                          </a:prstGeom>
                          <a:noFill/>
                          <a:ln>
                            <a:noFill/>
                          </a:ln>
                        </pic:spPr>
                      </pic:pic>
                    </a:graphicData>
                  </a:graphic>
                </wp:anchor>
              </w:drawing>
            </w:r>
            <w:r>
              <w:rPr>
                <w:rFonts w:hint="eastAsia" w:ascii="仿宋" w:hAnsi="仿宋" w:eastAsia="仿宋" w:cs="仿宋"/>
                <w:bCs/>
                <w:color w:val="000000"/>
                <w:sz w:val="21"/>
                <w:szCs w:val="21"/>
                <w:vertAlign w:val="baseline"/>
                <w:lang w:val="en-US" w:eastAsia="zh-CN"/>
              </w:rPr>
              <w:t>参考图：</w:t>
            </w:r>
          </w:p>
          <w:p w14:paraId="280D1B0D">
            <w:pPr>
              <w:widowControl w:val="0"/>
              <w:numPr>
                <w:ilvl w:val="0"/>
                <w:numId w:val="0"/>
              </w:numPr>
              <w:spacing w:line="240" w:lineRule="auto"/>
              <w:jc w:val="left"/>
              <w:rPr>
                <w:rFonts w:hint="eastAsia" w:ascii="仿宋" w:hAnsi="仿宋" w:eastAsia="仿宋" w:cs="仿宋"/>
                <w:bCs/>
                <w:color w:val="000000"/>
                <w:sz w:val="21"/>
                <w:szCs w:val="21"/>
                <w:vertAlign w:val="baseline"/>
                <w:lang w:val="en-US" w:eastAsia="zh-CN"/>
              </w:rPr>
            </w:pPr>
          </w:p>
          <w:p w14:paraId="434B1B37">
            <w:pPr>
              <w:widowControl w:val="0"/>
              <w:numPr>
                <w:ilvl w:val="0"/>
                <w:numId w:val="0"/>
              </w:numPr>
              <w:spacing w:line="240" w:lineRule="auto"/>
              <w:jc w:val="left"/>
              <w:rPr>
                <w:rFonts w:hint="eastAsia" w:ascii="仿宋" w:hAnsi="仿宋" w:eastAsia="仿宋" w:cs="仿宋"/>
                <w:bCs/>
                <w:color w:val="000000"/>
                <w:sz w:val="21"/>
                <w:szCs w:val="21"/>
                <w:vertAlign w:val="baseline"/>
                <w:lang w:val="en-US" w:eastAsia="zh-CN"/>
              </w:rPr>
            </w:pPr>
          </w:p>
          <w:p w14:paraId="2474FDB4">
            <w:pPr>
              <w:widowControl w:val="0"/>
              <w:numPr>
                <w:ilvl w:val="0"/>
                <w:numId w:val="0"/>
              </w:numPr>
              <w:spacing w:line="240" w:lineRule="auto"/>
              <w:jc w:val="left"/>
              <w:rPr>
                <w:rFonts w:hint="eastAsia" w:ascii="仿宋" w:hAnsi="仿宋" w:eastAsia="仿宋" w:cs="仿宋"/>
                <w:bCs/>
                <w:color w:val="000000"/>
                <w:sz w:val="21"/>
                <w:szCs w:val="21"/>
                <w:vertAlign w:val="baseline"/>
                <w:lang w:val="en-US" w:eastAsia="zh-CN"/>
              </w:rPr>
            </w:pPr>
          </w:p>
          <w:p w14:paraId="76A751BB">
            <w:pPr>
              <w:widowControl w:val="0"/>
              <w:numPr>
                <w:ilvl w:val="0"/>
                <w:numId w:val="0"/>
              </w:numPr>
              <w:spacing w:line="240" w:lineRule="auto"/>
              <w:jc w:val="left"/>
              <w:rPr>
                <w:rFonts w:hint="default" w:ascii="仿宋" w:hAnsi="仿宋" w:eastAsia="仿宋" w:cs="仿宋"/>
                <w:bCs/>
                <w:color w:val="000000"/>
                <w:sz w:val="21"/>
                <w:szCs w:val="21"/>
                <w:vertAlign w:val="baseline"/>
                <w:lang w:val="en-US" w:eastAsia="zh-CN"/>
              </w:rPr>
            </w:pPr>
          </w:p>
          <w:p w14:paraId="0B6D963A">
            <w:pPr>
              <w:widowControl w:val="0"/>
              <w:numPr>
                <w:ilvl w:val="0"/>
                <w:numId w:val="0"/>
              </w:numPr>
              <w:spacing w:line="240" w:lineRule="auto"/>
              <w:jc w:val="left"/>
              <w:rPr>
                <w:rFonts w:hint="default" w:ascii="仿宋" w:hAnsi="仿宋" w:eastAsia="仿宋" w:cs="仿宋"/>
                <w:bCs/>
                <w:color w:val="000000"/>
                <w:sz w:val="21"/>
                <w:szCs w:val="21"/>
                <w:vertAlign w:val="baseline"/>
                <w:lang w:val="en-US" w:eastAsia="zh-CN"/>
              </w:rPr>
            </w:pPr>
          </w:p>
          <w:p w14:paraId="76A4733E">
            <w:pPr>
              <w:widowControl w:val="0"/>
              <w:numPr>
                <w:ilvl w:val="0"/>
                <w:numId w:val="0"/>
              </w:numPr>
              <w:spacing w:line="240" w:lineRule="auto"/>
              <w:jc w:val="left"/>
              <w:rPr>
                <w:rFonts w:hint="default" w:ascii="仿宋" w:hAnsi="仿宋" w:eastAsia="仿宋" w:cs="仿宋"/>
                <w:bCs/>
                <w:color w:val="000000"/>
                <w:sz w:val="21"/>
                <w:szCs w:val="21"/>
                <w:vertAlign w:val="baseline"/>
                <w:lang w:val="en-US" w:eastAsia="zh-CN"/>
              </w:rPr>
            </w:pPr>
          </w:p>
        </w:tc>
        <w:tc>
          <w:tcPr>
            <w:tcW w:w="750" w:type="dxa"/>
            <w:vAlign w:val="center"/>
          </w:tcPr>
          <w:p w14:paraId="1E4BBBD3">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1200</w:t>
            </w:r>
          </w:p>
        </w:tc>
        <w:tc>
          <w:tcPr>
            <w:tcW w:w="827" w:type="dxa"/>
            <w:vAlign w:val="center"/>
          </w:tcPr>
          <w:p w14:paraId="4C8A027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1个</w:t>
            </w:r>
          </w:p>
        </w:tc>
        <w:tc>
          <w:tcPr>
            <w:tcW w:w="742" w:type="dxa"/>
            <w:vAlign w:val="center"/>
          </w:tcPr>
          <w:p w14:paraId="1C1BF534">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1200</w:t>
            </w:r>
          </w:p>
        </w:tc>
        <w:tc>
          <w:tcPr>
            <w:tcW w:w="814" w:type="dxa"/>
            <w:vAlign w:val="center"/>
          </w:tcPr>
          <w:p w14:paraId="52D1A711">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670" w:type="dxa"/>
            <w:vAlign w:val="center"/>
          </w:tcPr>
          <w:p w14:paraId="04BD0C49">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339C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jc w:val="center"/>
        </w:trPr>
        <w:tc>
          <w:tcPr>
            <w:tcW w:w="636" w:type="dxa"/>
            <w:vAlign w:val="center"/>
          </w:tcPr>
          <w:p w14:paraId="73A2639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1323" w:type="dxa"/>
            <w:shd w:val="clear" w:color="auto" w:fill="auto"/>
            <w:vAlign w:val="center"/>
          </w:tcPr>
          <w:p w14:paraId="3519C4A3">
            <w:pPr>
              <w:numPr>
                <w:ilvl w:val="0"/>
                <w:numId w:val="0"/>
              </w:numPr>
              <w:spacing w:line="240" w:lineRule="auto"/>
              <w:ind w:left="0" w:leftChars="0" w:firstLine="0" w:firstLineChars="0"/>
              <w:jc w:val="center"/>
              <w:rPr>
                <w:rFonts w:hint="default" w:ascii="仿宋" w:hAnsi="仿宋" w:eastAsia="仿宋" w:cs="仿宋"/>
                <w:bCs/>
                <w:color w:val="000000"/>
                <w:kern w:val="2"/>
                <w:sz w:val="21"/>
                <w:szCs w:val="21"/>
                <w:vertAlign w:val="baseline"/>
                <w:lang w:val="en-US" w:eastAsia="zh-CN" w:bidi="ar-SA"/>
              </w:rPr>
            </w:pPr>
            <w:r>
              <w:rPr>
                <w:rFonts w:hint="eastAsia" w:ascii="仿宋" w:hAnsi="仿宋" w:eastAsia="仿宋" w:cs="仿宋"/>
                <w:bCs/>
                <w:color w:val="000000"/>
                <w:kern w:val="2"/>
                <w:sz w:val="21"/>
                <w:szCs w:val="21"/>
                <w:vertAlign w:val="baseline"/>
                <w:lang w:val="en-US" w:eastAsia="zh-CN" w:bidi="ar-SA"/>
              </w:rPr>
              <w:t>合闸线圈</w:t>
            </w:r>
          </w:p>
        </w:tc>
        <w:tc>
          <w:tcPr>
            <w:tcW w:w="4853" w:type="dxa"/>
            <w:vAlign w:val="center"/>
          </w:tcPr>
          <w:p w14:paraId="693693FC">
            <w:pPr>
              <w:numPr>
                <w:ilvl w:val="0"/>
                <w:numId w:val="5"/>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适配35KV断路器：DC220V  40.5kV专用；</w:t>
            </w:r>
          </w:p>
          <w:p w14:paraId="1BE65C88">
            <w:pPr>
              <w:numPr>
                <w:ilvl w:val="0"/>
                <w:numId w:val="5"/>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根据</w:t>
            </w:r>
            <w:r>
              <w:rPr>
                <w:rFonts w:hint="eastAsia" w:ascii="仿宋" w:hAnsi="仿宋" w:eastAsia="仿宋" w:cs="仿宋"/>
                <w:bCs/>
                <w:color w:val="000000"/>
                <w:sz w:val="21"/>
                <w:szCs w:val="21"/>
                <w:vertAlign w:val="baseline"/>
                <w:lang w:val="en-US" w:eastAsia="zh-CN"/>
              </w:rPr>
              <w:t>归口部门</w:t>
            </w:r>
            <w:r>
              <w:rPr>
                <w:rFonts w:hint="default" w:ascii="仿宋" w:hAnsi="仿宋" w:eastAsia="仿宋" w:cs="仿宋"/>
                <w:bCs/>
                <w:color w:val="000000"/>
                <w:sz w:val="21"/>
                <w:szCs w:val="21"/>
                <w:vertAlign w:val="baseline"/>
                <w:lang w:val="en-US" w:eastAsia="zh-CN"/>
              </w:rPr>
              <w:t>安排的停电时间进行安装并调试</w:t>
            </w:r>
            <w:r>
              <w:rPr>
                <w:rFonts w:hint="eastAsia" w:ascii="仿宋" w:hAnsi="仿宋" w:eastAsia="仿宋" w:cs="仿宋"/>
                <w:bCs/>
                <w:color w:val="000000"/>
                <w:sz w:val="21"/>
                <w:szCs w:val="21"/>
                <w:vertAlign w:val="baseline"/>
                <w:lang w:val="en-US" w:eastAsia="zh-CN"/>
              </w:rPr>
              <w:t>。</w:t>
            </w:r>
          </w:p>
          <w:p w14:paraId="3C9E09EA">
            <w:pPr>
              <w:numPr>
                <w:ilvl w:val="0"/>
                <w:numId w:val="5"/>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1000125</wp:posOffset>
                  </wp:positionH>
                  <wp:positionV relativeFrom="paragraph">
                    <wp:posOffset>41275</wp:posOffset>
                  </wp:positionV>
                  <wp:extent cx="1517650" cy="2024380"/>
                  <wp:effectExtent l="0" t="0" r="6350" b="13970"/>
                  <wp:wrapNone/>
                  <wp:docPr id="2" name="图片 2" descr="3号变压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号变压器"/>
                          <pic:cNvPicPr>
                            <a:picLocks noChangeAspect="1"/>
                          </pic:cNvPicPr>
                        </pic:nvPicPr>
                        <pic:blipFill>
                          <a:blip r:embed="rId15"/>
                          <a:stretch>
                            <a:fillRect/>
                          </a:stretch>
                        </pic:blipFill>
                        <pic:spPr>
                          <a:xfrm>
                            <a:off x="0" y="0"/>
                            <a:ext cx="1517650" cy="2024380"/>
                          </a:xfrm>
                          <a:prstGeom prst="rect">
                            <a:avLst/>
                          </a:prstGeom>
                        </pic:spPr>
                      </pic:pic>
                    </a:graphicData>
                  </a:graphic>
                </wp:anchor>
              </w:drawing>
            </w:r>
            <w:r>
              <w:rPr>
                <w:rFonts w:hint="eastAsia" w:ascii="仿宋" w:hAnsi="仿宋" w:eastAsia="仿宋" w:cs="仿宋"/>
                <w:bCs/>
                <w:color w:val="000000"/>
                <w:sz w:val="21"/>
                <w:szCs w:val="21"/>
                <w:vertAlign w:val="baseline"/>
                <w:lang w:val="en-US" w:eastAsia="zh-CN"/>
              </w:rPr>
              <w:t>变压器图片：</w:t>
            </w:r>
          </w:p>
          <w:p w14:paraId="6A7EBCD8">
            <w:pPr>
              <w:numPr>
                <w:ilvl w:val="0"/>
                <w:numId w:val="0"/>
              </w:numPr>
              <w:spacing w:line="240" w:lineRule="auto"/>
              <w:ind w:leftChars="0"/>
              <w:jc w:val="left"/>
              <w:rPr>
                <w:rFonts w:hint="eastAsia" w:ascii="仿宋" w:hAnsi="仿宋" w:eastAsia="仿宋" w:cs="仿宋"/>
                <w:bCs/>
                <w:color w:val="000000"/>
                <w:sz w:val="21"/>
                <w:szCs w:val="21"/>
                <w:vertAlign w:val="baseline"/>
                <w:lang w:val="en-US" w:eastAsia="zh-CN"/>
              </w:rPr>
            </w:pPr>
          </w:p>
          <w:p w14:paraId="1232A0D7">
            <w:pPr>
              <w:numPr>
                <w:ilvl w:val="0"/>
                <w:numId w:val="0"/>
              </w:numPr>
              <w:spacing w:line="240" w:lineRule="auto"/>
              <w:ind w:leftChars="0"/>
              <w:jc w:val="left"/>
              <w:rPr>
                <w:rFonts w:hint="eastAsia" w:ascii="仿宋" w:hAnsi="仿宋" w:eastAsia="仿宋" w:cs="仿宋"/>
                <w:bCs/>
                <w:color w:val="000000"/>
                <w:sz w:val="21"/>
                <w:szCs w:val="21"/>
                <w:vertAlign w:val="baseline"/>
                <w:lang w:val="en-US" w:eastAsia="zh-CN"/>
              </w:rPr>
            </w:pPr>
          </w:p>
          <w:p w14:paraId="2FC62EBF">
            <w:pPr>
              <w:numPr>
                <w:ilvl w:val="0"/>
                <w:numId w:val="0"/>
              </w:numPr>
              <w:spacing w:line="240" w:lineRule="auto"/>
              <w:ind w:leftChars="0"/>
              <w:jc w:val="left"/>
              <w:rPr>
                <w:rFonts w:hint="eastAsia" w:ascii="仿宋" w:hAnsi="仿宋" w:eastAsia="仿宋" w:cs="仿宋"/>
                <w:bCs/>
                <w:color w:val="000000"/>
                <w:sz w:val="21"/>
                <w:szCs w:val="21"/>
                <w:vertAlign w:val="baseline"/>
                <w:lang w:val="en-US" w:eastAsia="zh-CN"/>
              </w:rPr>
            </w:pPr>
          </w:p>
          <w:p w14:paraId="1907D3DB">
            <w:pPr>
              <w:numPr>
                <w:ilvl w:val="0"/>
                <w:numId w:val="0"/>
              </w:numPr>
              <w:spacing w:line="240" w:lineRule="auto"/>
              <w:ind w:leftChars="0"/>
              <w:jc w:val="left"/>
              <w:rPr>
                <w:rFonts w:hint="eastAsia" w:ascii="仿宋" w:hAnsi="仿宋" w:eastAsia="仿宋" w:cs="仿宋"/>
                <w:bCs/>
                <w:color w:val="000000"/>
                <w:sz w:val="21"/>
                <w:szCs w:val="21"/>
                <w:vertAlign w:val="baseline"/>
                <w:lang w:val="en-US" w:eastAsia="zh-CN"/>
              </w:rPr>
            </w:pPr>
          </w:p>
          <w:p w14:paraId="614691C7">
            <w:pPr>
              <w:numPr>
                <w:ilvl w:val="0"/>
                <w:numId w:val="0"/>
              </w:numPr>
              <w:spacing w:line="240" w:lineRule="auto"/>
              <w:ind w:leftChars="0"/>
              <w:jc w:val="left"/>
              <w:rPr>
                <w:rFonts w:hint="eastAsia" w:ascii="仿宋" w:hAnsi="仿宋" w:eastAsia="仿宋" w:cs="仿宋"/>
                <w:bCs/>
                <w:color w:val="000000"/>
                <w:sz w:val="21"/>
                <w:szCs w:val="21"/>
                <w:vertAlign w:val="baseline"/>
                <w:lang w:val="en-US" w:eastAsia="zh-CN"/>
              </w:rPr>
            </w:pPr>
          </w:p>
          <w:p w14:paraId="6ED6C421">
            <w:pPr>
              <w:numPr>
                <w:ilvl w:val="0"/>
                <w:numId w:val="0"/>
              </w:numPr>
              <w:spacing w:line="240" w:lineRule="auto"/>
              <w:ind w:leftChars="0"/>
              <w:jc w:val="left"/>
              <w:rPr>
                <w:rFonts w:hint="eastAsia" w:ascii="仿宋" w:hAnsi="仿宋" w:eastAsia="仿宋" w:cs="仿宋"/>
                <w:bCs/>
                <w:color w:val="000000"/>
                <w:sz w:val="21"/>
                <w:szCs w:val="21"/>
                <w:vertAlign w:val="baseline"/>
                <w:lang w:val="en-US" w:eastAsia="zh-CN"/>
              </w:rPr>
            </w:pPr>
          </w:p>
          <w:p w14:paraId="200A22DC">
            <w:pPr>
              <w:numPr>
                <w:ilvl w:val="0"/>
                <w:numId w:val="0"/>
              </w:numPr>
              <w:spacing w:line="240" w:lineRule="auto"/>
              <w:ind w:leftChars="0"/>
              <w:jc w:val="left"/>
              <w:rPr>
                <w:rFonts w:hint="default" w:ascii="仿宋" w:hAnsi="仿宋" w:eastAsia="仿宋" w:cs="仿宋"/>
                <w:bCs/>
                <w:color w:val="000000"/>
                <w:sz w:val="21"/>
                <w:szCs w:val="21"/>
                <w:vertAlign w:val="baseline"/>
                <w:lang w:val="en-US" w:eastAsia="zh-CN"/>
              </w:rPr>
            </w:pPr>
          </w:p>
        </w:tc>
        <w:tc>
          <w:tcPr>
            <w:tcW w:w="750" w:type="dxa"/>
            <w:vAlign w:val="center"/>
          </w:tcPr>
          <w:p w14:paraId="5758EA9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1225</w:t>
            </w:r>
          </w:p>
        </w:tc>
        <w:tc>
          <w:tcPr>
            <w:tcW w:w="827" w:type="dxa"/>
            <w:vAlign w:val="center"/>
          </w:tcPr>
          <w:p w14:paraId="7759B573">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2个</w:t>
            </w:r>
          </w:p>
        </w:tc>
        <w:tc>
          <w:tcPr>
            <w:tcW w:w="742" w:type="dxa"/>
            <w:vAlign w:val="center"/>
          </w:tcPr>
          <w:p w14:paraId="02A49E5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2450</w:t>
            </w:r>
          </w:p>
        </w:tc>
        <w:tc>
          <w:tcPr>
            <w:tcW w:w="814" w:type="dxa"/>
            <w:vAlign w:val="center"/>
          </w:tcPr>
          <w:p w14:paraId="7484C9B5">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670" w:type="dxa"/>
            <w:vAlign w:val="center"/>
          </w:tcPr>
          <w:p w14:paraId="714237F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7D3C026E">
      <w:pPr>
        <w:widowControl w:val="0"/>
        <w:numPr>
          <w:ilvl w:val="0"/>
          <w:numId w:val="0"/>
        </w:numPr>
        <w:spacing w:line="360" w:lineRule="auto"/>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备注：报名供应商须进行分项报价；</w:t>
      </w:r>
    </w:p>
    <w:p w14:paraId="79007117">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FF1AEE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965172F">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65DD67B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D4EA83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C5930C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D87A94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C1D6507">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3755CA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E0323F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1BE3306">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bookmarkStart w:id="12" w:name="_GoBack"/>
      <w:bookmarkEnd w:id="12"/>
    </w:p>
    <w:p w14:paraId="6F0FAB4A">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A49388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41E354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C4EB37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6" w:name="_Toc22109"/>
      <w:bookmarkStart w:id="7" w:name="_Toc11005"/>
      <w:r>
        <w:rPr>
          <w:rFonts w:hint="eastAsia" w:ascii="仿宋" w:hAnsi="仿宋" w:eastAsia="仿宋" w:cs="宋体"/>
          <w:bCs/>
          <w:color w:val="000000"/>
          <w:sz w:val="32"/>
          <w:szCs w:val="32"/>
          <w:lang w:val="en-US" w:eastAsia="zh-CN"/>
        </w:rPr>
        <w:t>供应商须知</w:t>
      </w:r>
      <w:bookmarkEnd w:id="6"/>
      <w:bookmarkEnd w:id="7"/>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8" w:name="_Toc11138"/>
      <w:bookmarkStart w:id="9" w:name="_Toc3841"/>
      <w:r>
        <w:rPr>
          <w:rFonts w:hint="eastAsia" w:ascii="仿宋" w:hAnsi="仿宋" w:eastAsia="仿宋" w:cs="宋体"/>
          <w:bCs/>
          <w:color w:val="000000"/>
          <w:sz w:val="32"/>
          <w:szCs w:val="32"/>
          <w:lang w:val="en-US" w:eastAsia="zh-CN"/>
        </w:rPr>
        <w:t>报价文件格式</w:t>
      </w:r>
      <w:bookmarkEnd w:id="8"/>
      <w:bookmarkEnd w:id="9"/>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10"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10"/>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1" w:name="_Toc4072"/>
      <w:r>
        <w:rPr>
          <w:rFonts w:hint="eastAsia" w:ascii="仿宋" w:hAnsi="仿宋" w:eastAsia="仿宋" w:cs="宋体"/>
          <w:bCs/>
          <w:color w:val="000000"/>
          <w:sz w:val="32"/>
          <w:szCs w:val="32"/>
          <w:lang w:val="en-US" w:eastAsia="zh-CN"/>
        </w:rPr>
        <w:t>协议签订</w:t>
      </w:r>
      <w:bookmarkEnd w:id="11"/>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6"/>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1DB963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19F7C371"/>
    <w:multiLevelType w:val="singleLevel"/>
    <w:tmpl w:val="19F7C371"/>
    <w:lvl w:ilvl="0" w:tentative="0">
      <w:start w:val="1"/>
      <w:numFmt w:val="decimal"/>
      <w:suff w:val="nothing"/>
      <w:lvlText w:val="%1、"/>
      <w:lvlJc w:val="left"/>
    </w:lvl>
  </w:abstractNum>
  <w:abstractNum w:abstractNumId="2">
    <w:nsid w:val="2C2F6A52"/>
    <w:multiLevelType w:val="singleLevel"/>
    <w:tmpl w:val="2C2F6A52"/>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BD1459"/>
    <w:rsid w:val="052D3B24"/>
    <w:rsid w:val="0715148C"/>
    <w:rsid w:val="08E053FD"/>
    <w:rsid w:val="0B3C188E"/>
    <w:rsid w:val="0B603E17"/>
    <w:rsid w:val="0BC41F21"/>
    <w:rsid w:val="110C12EC"/>
    <w:rsid w:val="12D55D1E"/>
    <w:rsid w:val="143B2DE1"/>
    <w:rsid w:val="14B81425"/>
    <w:rsid w:val="14C76F80"/>
    <w:rsid w:val="15E12F09"/>
    <w:rsid w:val="16455922"/>
    <w:rsid w:val="193E2DCB"/>
    <w:rsid w:val="198F2D53"/>
    <w:rsid w:val="1A66082C"/>
    <w:rsid w:val="1A9A51D3"/>
    <w:rsid w:val="1AFD138A"/>
    <w:rsid w:val="1D735C83"/>
    <w:rsid w:val="1EE838F2"/>
    <w:rsid w:val="1F330EF8"/>
    <w:rsid w:val="1F8E5D51"/>
    <w:rsid w:val="202A5E57"/>
    <w:rsid w:val="213B779A"/>
    <w:rsid w:val="23E72ABF"/>
    <w:rsid w:val="26083FB3"/>
    <w:rsid w:val="270B08D2"/>
    <w:rsid w:val="279D1605"/>
    <w:rsid w:val="294E055C"/>
    <w:rsid w:val="296E14AB"/>
    <w:rsid w:val="2AD16DE9"/>
    <w:rsid w:val="2BA12E9E"/>
    <w:rsid w:val="2CA31C32"/>
    <w:rsid w:val="2D375F5B"/>
    <w:rsid w:val="2D7A4C14"/>
    <w:rsid w:val="2EF21B26"/>
    <w:rsid w:val="30930B46"/>
    <w:rsid w:val="33AA7021"/>
    <w:rsid w:val="34F6789C"/>
    <w:rsid w:val="359B6DED"/>
    <w:rsid w:val="35BB5A78"/>
    <w:rsid w:val="371E334D"/>
    <w:rsid w:val="387E2B20"/>
    <w:rsid w:val="38812C2C"/>
    <w:rsid w:val="39FC3049"/>
    <w:rsid w:val="3AE076E5"/>
    <w:rsid w:val="3B4E3ED9"/>
    <w:rsid w:val="3C5A27F2"/>
    <w:rsid w:val="3DCA649B"/>
    <w:rsid w:val="3E6158D5"/>
    <w:rsid w:val="3F483EBF"/>
    <w:rsid w:val="417E123A"/>
    <w:rsid w:val="41DA0C77"/>
    <w:rsid w:val="44C77996"/>
    <w:rsid w:val="464E369A"/>
    <w:rsid w:val="48AA548E"/>
    <w:rsid w:val="4973433F"/>
    <w:rsid w:val="4AA4190C"/>
    <w:rsid w:val="4D7076AC"/>
    <w:rsid w:val="4D84279B"/>
    <w:rsid w:val="4E056021"/>
    <w:rsid w:val="4F3F325D"/>
    <w:rsid w:val="52074D56"/>
    <w:rsid w:val="525733F7"/>
    <w:rsid w:val="556E3867"/>
    <w:rsid w:val="56F03878"/>
    <w:rsid w:val="57780292"/>
    <w:rsid w:val="5927777C"/>
    <w:rsid w:val="59B23E12"/>
    <w:rsid w:val="5B975D90"/>
    <w:rsid w:val="5F9A5527"/>
    <w:rsid w:val="62402164"/>
    <w:rsid w:val="632F44C3"/>
    <w:rsid w:val="64F462FB"/>
    <w:rsid w:val="65915CCD"/>
    <w:rsid w:val="67D02D0E"/>
    <w:rsid w:val="68DD679C"/>
    <w:rsid w:val="6C1D7BEB"/>
    <w:rsid w:val="6D773183"/>
    <w:rsid w:val="6E4062B8"/>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4823</Words>
  <Characters>5215</Characters>
  <Lines>0</Lines>
  <Paragraphs>0</Paragraphs>
  <TotalTime>3</TotalTime>
  <ScaleCrop>false</ScaleCrop>
  <LinksUpToDate>false</LinksUpToDate>
  <CharactersWithSpaces>5687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2025-07-14T01:47:17Z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