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5DA65244">
      <w:pPr>
        <w:rPr>
          <w:rFonts w:hint="eastAsia" w:ascii="黑体" w:eastAsia="黑体"/>
          <w:b/>
          <w:color w:val="000000"/>
          <w:sz w:val="52"/>
          <w:szCs w:val="52"/>
          <w:vertAlign w:val="baseline"/>
          <w:lang w:val="en-US" w:eastAsia="zh-CN"/>
        </w:rPr>
      </w:pPr>
      <w:r>
        <w:rPr>
          <w:rFonts w:hint="eastAsia" w:ascii="黑体" w:eastAsia="黑体"/>
          <w:b/>
          <w:color w:val="000000"/>
          <w:sz w:val="52"/>
          <w:szCs w:val="52"/>
          <w:vertAlign w:val="baseline"/>
          <w:lang w:val="en-US" w:eastAsia="zh-CN"/>
        </w:rPr>
        <w:t>冷链温度监控系统（物联网）采购项目</w:t>
      </w:r>
    </w:p>
    <w:p w14:paraId="50F38C4B">
      <w:pPr>
        <w:rPr>
          <w:rFonts w:hint="eastAsia" w:ascii="黑体" w:eastAsia="黑体"/>
          <w:b/>
          <w:color w:val="000000"/>
          <w:sz w:val="52"/>
          <w:szCs w:val="52"/>
          <w:vertAlign w:val="baseline"/>
          <w:lang w:val="en-US" w:eastAsia="zh-CN"/>
        </w:rPr>
      </w:pPr>
    </w:p>
    <w:p w14:paraId="3ED24482">
      <w:pPr>
        <w:rPr>
          <w:rFonts w:hint="eastAsia" w:ascii="黑体" w:eastAsia="黑体"/>
          <w:color w:val="000000"/>
          <w:sz w:val="32"/>
        </w:rPr>
      </w:pPr>
    </w:p>
    <w:p w14:paraId="5714DF38">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74</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31</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8"/>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8"/>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8"/>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8"/>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8"/>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8"/>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11602"/>
      <w:bookmarkStart w:id="2" w:name="_Toc8298"/>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青岛市妇女儿童医院冷链温度监控系统（物联网）采购项目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1、项目名称：青岛市妇女儿童医院冷链温度监控系统（物联网）采购项目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75</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8</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8</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5</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146A4E3">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FF4D336">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23C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02DD42C">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报名包组</w:t>
            </w:r>
            <w:r>
              <w:rPr>
                <w:rFonts w:hint="eastAsia" w:ascii="仿宋" w:hAnsi="仿宋" w:eastAsia="仿宋" w:cs="仿宋"/>
                <w:sz w:val="44"/>
                <w:szCs w:val="44"/>
              </w:rPr>
              <w:t>*</w:t>
            </w:r>
          </w:p>
        </w:tc>
        <w:tc>
          <w:tcPr>
            <w:tcW w:w="5958" w:type="dxa"/>
            <w:noWrap w:val="0"/>
            <w:vAlign w:val="bottom"/>
          </w:tcPr>
          <w:p w14:paraId="64C6EBD6">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5C19E669">
      <w:pPr>
        <w:numPr>
          <w:ilvl w:val="0"/>
          <w:numId w:val="3"/>
        </w:num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w:t>
      </w:r>
      <w:r>
        <w:rPr>
          <w:rFonts w:hint="eastAsia" w:ascii="仿宋" w:hAnsi="仿宋" w:eastAsia="仿宋" w:cs="宋体"/>
          <w:color w:val="000000"/>
          <w:sz w:val="24"/>
          <w:szCs w:val="24"/>
          <w:vertAlign w:val="baseline"/>
          <w:lang w:val="en-US" w:eastAsia="zh-CN"/>
        </w:rPr>
        <w:t>冷链温度监控系统（物联网）采购项目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w:t>
      </w:r>
      <w:r>
        <w:rPr>
          <w:rFonts w:hint="eastAsia" w:ascii="仿宋" w:hAnsi="仿宋" w:eastAsia="仿宋" w:cs="宋体"/>
          <w:color w:val="000000"/>
          <w:sz w:val="24"/>
          <w:szCs w:val="24"/>
          <w:vertAlign w:val="baseline"/>
          <w:lang w:val="en-US" w:eastAsia="zh-CN"/>
        </w:rPr>
        <w:t>074</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10"/>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37"/>
        <w:gridCol w:w="4839"/>
        <w:gridCol w:w="750"/>
        <w:gridCol w:w="827"/>
        <w:gridCol w:w="742"/>
        <w:gridCol w:w="742"/>
        <w:gridCol w:w="742"/>
      </w:tblGrid>
      <w:tr w14:paraId="16CC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337" w:type="dxa"/>
            <w:vAlign w:val="center"/>
          </w:tcPr>
          <w:p w14:paraId="05FB4644">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物资名称</w:t>
            </w:r>
          </w:p>
        </w:tc>
        <w:tc>
          <w:tcPr>
            <w:tcW w:w="4839" w:type="dxa"/>
            <w:vAlign w:val="center"/>
          </w:tcPr>
          <w:p w14:paraId="34E07AF2">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728891B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52A1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337" w:type="dxa"/>
            <w:vAlign w:val="center"/>
          </w:tcPr>
          <w:p w14:paraId="175B9750">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宋体"/>
                <w:color w:val="000000"/>
                <w:sz w:val="24"/>
                <w:szCs w:val="24"/>
                <w:vertAlign w:val="baseline"/>
                <w:lang w:val="en-US" w:eastAsia="zh-CN"/>
              </w:rPr>
              <w:t>冷链温度监控系统（物联网）</w:t>
            </w:r>
          </w:p>
        </w:tc>
        <w:tc>
          <w:tcPr>
            <w:tcW w:w="4839" w:type="dxa"/>
            <w:vAlign w:val="center"/>
          </w:tcPr>
          <w:p w14:paraId="2531DF19">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1、无线通信频率符合国家标准规定；</w:t>
            </w:r>
          </w:p>
          <w:p w14:paraId="17F68F32">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2、系统硬件冷链监控仪安装不改变冰箱结构、不受位置限制，能够无死角覆盖医院；</w:t>
            </w:r>
          </w:p>
          <w:p w14:paraId="1692438B">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3、采用高精度四线制PT100温度传感器，特氟龙材质传感器连接线，温度采集范围-200～ +100℃，测量精度± 0.5℃；</w:t>
            </w:r>
          </w:p>
          <w:p w14:paraId="3F6A5F63">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4、显示采用高亮度彩色显示屏；</w:t>
            </w:r>
          </w:p>
          <w:p w14:paraId="25F12C1C">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5、系统软件包括云平台和微信公众平台，支持免费微信报警；采用全面的数据备份机制，定期备份，确保数据安全；</w:t>
            </w:r>
          </w:p>
          <w:p w14:paraId="17D25738">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6、云平台进行冷链监控仪管理、接收各个节点的温湿度数据、解析数据、数据入库、历史数据查询、报表打印并推送手机短信/微信报警，实现远程操作控制系统，且用户无需维护,只管使用；</w:t>
            </w:r>
          </w:p>
          <w:p w14:paraId="79C34F3B">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可通过云平台查询多种历史数据记录，如自动生成整点温度数据、各点位详细温度数据、温度曲线等；温湿度曲线可以进行自由缩放，并能反映相应点的温度值，能对异常温度进行标注；由用户可自由选择时间段和各点位，可自由导出为EXCEL表格或者PDF文件进行存储；</w:t>
            </w:r>
          </w:p>
          <w:p w14:paraId="18798F48">
            <w:pPr>
              <w:numPr>
                <w:ilvl w:val="0"/>
                <w:numId w:val="0"/>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8、冷链监控仪数据上传频率1分钟/次，云平台存储频率10分钟/次，客户导出数据间隔可任意选择；</w:t>
            </w:r>
          </w:p>
          <w:p w14:paraId="1B108813">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9、系统报警种类齐全，包括超温超湿报警、传感器报警、通讯中断报警、断电报警；报警方式多样，包括微信报警、短信报警、现场声光报警等，且不限制报警接收人数量，不同科室不同冰箱数据可分开专人管理；</w:t>
            </w:r>
          </w:p>
          <w:p w14:paraId="128BEF24">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10、系统支持GPRS定位及手机现场蓝牙打印温湿度数据；</w:t>
            </w:r>
          </w:p>
          <w:p w14:paraId="2DBA49B1">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11、配置清单：冷链监控仪1套（含传感器）、冷链监控平台1套</w:t>
            </w:r>
          </w:p>
          <w:p w14:paraId="2A17B8E4">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p>
        </w:tc>
        <w:tc>
          <w:tcPr>
            <w:tcW w:w="750" w:type="dxa"/>
            <w:vAlign w:val="center"/>
          </w:tcPr>
          <w:p w14:paraId="0DCF324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2000</w:t>
            </w:r>
          </w:p>
        </w:tc>
        <w:tc>
          <w:tcPr>
            <w:tcW w:w="827" w:type="dxa"/>
            <w:vAlign w:val="center"/>
          </w:tcPr>
          <w:p w14:paraId="075666A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1台</w:t>
            </w:r>
          </w:p>
        </w:tc>
        <w:tc>
          <w:tcPr>
            <w:tcW w:w="742" w:type="dxa"/>
            <w:vAlign w:val="center"/>
          </w:tcPr>
          <w:p w14:paraId="2B19375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2000</w:t>
            </w:r>
          </w:p>
        </w:tc>
        <w:tc>
          <w:tcPr>
            <w:tcW w:w="742" w:type="dxa"/>
            <w:vAlign w:val="center"/>
          </w:tcPr>
          <w:p w14:paraId="7F2F270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15天</w:t>
            </w:r>
          </w:p>
        </w:tc>
        <w:tc>
          <w:tcPr>
            <w:tcW w:w="742" w:type="dxa"/>
            <w:vAlign w:val="center"/>
          </w:tcPr>
          <w:p w14:paraId="17F6888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1年以上</w:t>
            </w:r>
          </w:p>
        </w:tc>
      </w:tr>
    </w:tbl>
    <w:p w14:paraId="36DCEA3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9007117">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11005"/>
      <w:bookmarkStart w:id="6" w:name="_Toc22109"/>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10"/>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3"/>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3"/>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3"/>
        <w:ind w:firstLine="482"/>
        <w:rPr>
          <w:rFonts w:hint="eastAsia" w:ascii="仿宋" w:hAnsi="仿宋" w:eastAsia="仿宋"/>
          <w:b/>
          <w:bCs/>
          <w:color w:val="000000"/>
          <w:kern w:val="1"/>
          <w:sz w:val="24"/>
          <w:szCs w:val="24"/>
        </w:rPr>
      </w:pPr>
    </w:p>
    <w:p w14:paraId="3B9863F5">
      <w:pPr>
        <w:pStyle w:val="13"/>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3"/>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3"/>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3"/>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3"/>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3"/>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3"/>
        <w:ind w:firstLine="480"/>
        <w:rPr>
          <w:rFonts w:hint="eastAsia" w:ascii="仿宋" w:hAnsi="仿宋" w:eastAsia="仿宋"/>
          <w:color w:val="000000"/>
          <w:kern w:val="1"/>
          <w:sz w:val="24"/>
          <w:szCs w:val="24"/>
        </w:rPr>
      </w:pPr>
    </w:p>
    <w:p w14:paraId="4613F5F6">
      <w:pPr>
        <w:pStyle w:val="13"/>
        <w:ind w:firstLine="480"/>
        <w:rPr>
          <w:rFonts w:hint="eastAsia" w:ascii="仿宋" w:hAnsi="仿宋" w:eastAsia="仿宋"/>
          <w:color w:val="000000"/>
          <w:kern w:val="1"/>
          <w:sz w:val="24"/>
          <w:szCs w:val="24"/>
        </w:rPr>
      </w:pPr>
    </w:p>
    <w:p w14:paraId="11427BDC">
      <w:pPr>
        <w:pStyle w:val="13"/>
        <w:ind w:firstLine="480"/>
        <w:rPr>
          <w:rFonts w:hint="eastAsia" w:ascii="仿宋" w:hAnsi="仿宋" w:eastAsia="仿宋"/>
          <w:color w:val="000000"/>
          <w:kern w:val="1"/>
          <w:sz w:val="24"/>
          <w:szCs w:val="24"/>
        </w:rPr>
      </w:pPr>
    </w:p>
    <w:p w14:paraId="5E17B7DA">
      <w:pPr>
        <w:pStyle w:val="13"/>
        <w:ind w:firstLine="480"/>
        <w:rPr>
          <w:rStyle w:val="14"/>
          <w:rFonts w:hint="default" w:cs="仿宋"/>
          <w:color w:val="000000"/>
          <w:sz w:val="24"/>
          <w:szCs w:val="24"/>
        </w:rPr>
      </w:pPr>
      <w:r>
        <w:rPr>
          <w:rStyle w:val="14"/>
          <w:rFonts w:hint="default" w:cs="仿宋"/>
          <w:color w:val="000000"/>
          <w:sz w:val="24"/>
          <w:szCs w:val="24"/>
        </w:rPr>
        <w:t xml:space="preserve">                       投标人名称(盖公章)：</w:t>
      </w:r>
    </w:p>
    <w:p w14:paraId="37D8CA81">
      <w:pPr>
        <w:pStyle w:val="13"/>
        <w:ind w:firstLine="480"/>
        <w:rPr>
          <w:rStyle w:val="14"/>
          <w:rFonts w:hint="default" w:cs="仿宋"/>
          <w:color w:val="000000"/>
          <w:sz w:val="24"/>
          <w:szCs w:val="24"/>
        </w:rPr>
      </w:pPr>
      <w:r>
        <w:rPr>
          <w:rStyle w:val="14"/>
          <w:rFonts w:hint="default" w:cs="仿宋"/>
          <w:color w:val="000000"/>
          <w:sz w:val="24"/>
          <w:szCs w:val="24"/>
        </w:rPr>
        <w:t xml:space="preserve">                       法定代表人（签字）：</w:t>
      </w:r>
    </w:p>
    <w:p w14:paraId="77339990">
      <w:pPr>
        <w:snapToGrid w:val="0"/>
        <w:spacing w:line="460" w:lineRule="exact"/>
        <w:jc w:val="right"/>
        <w:rPr>
          <w:rStyle w:val="14"/>
          <w:rFonts w:hint="default" w:cs="仿宋"/>
          <w:color w:val="000000"/>
          <w:sz w:val="24"/>
          <w:szCs w:val="24"/>
          <w:vertAlign w:val="baseline"/>
          <w:lang w:val="en-US" w:eastAsia="zh-CN" w:bidi="ar-SA"/>
        </w:rPr>
      </w:pPr>
      <w:r>
        <w:rPr>
          <w:rStyle w:val="14"/>
          <w:rFonts w:hint="default" w:cs="仿宋"/>
          <w:color w:val="000000"/>
          <w:sz w:val="24"/>
          <w:szCs w:val="24"/>
        </w:rPr>
        <w:t xml:space="preserve">                       </w:t>
      </w:r>
      <w:r>
        <w:rPr>
          <w:rStyle w:val="14"/>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4"/>
          <w:rFonts w:hint="default" w:cs="仿宋"/>
          <w:color w:val="000000"/>
          <w:sz w:val="24"/>
          <w:szCs w:val="24"/>
          <w:vertAlign w:val="baseline"/>
          <w:lang w:val="en-US" w:eastAsia="zh-CN" w:bidi="ar-SA"/>
        </w:rPr>
      </w:pPr>
    </w:p>
    <w:p w14:paraId="2E159BC4">
      <w:pPr>
        <w:snapToGrid w:val="0"/>
        <w:spacing w:line="460" w:lineRule="exact"/>
        <w:jc w:val="right"/>
        <w:rPr>
          <w:rStyle w:val="14"/>
          <w:rFonts w:hint="default" w:cs="仿宋"/>
          <w:color w:val="000000"/>
          <w:sz w:val="24"/>
          <w:szCs w:val="24"/>
          <w:vertAlign w:val="baseline"/>
          <w:lang w:val="en-US" w:eastAsia="zh-CN" w:bidi="ar-SA"/>
        </w:rPr>
      </w:pPr>
    </w:p>
    <w:p w14:paraId="40364D4E">
      <w:pPr>
        <w:snapToGrid w:val="0"/>
        <w:spacing w:line="460" w:lineRule="exact"/>
        <w:jc w:val="right"/>
        <w:rPr>
          <w:rStyle w:val="14"/>
          <w:rFonts w:hint="default" w:cs="仿宋"/>
          <w:color w:val="000000"/>
          <w:sz w:val="24"/>
          <w:szCs w:val="24"/>
          <w:vertAlign w:val="baseline"/>
          <w:lang w:val="en-US" w:eastAsia="zh-CN" w:bidi="ar-SA"/>
        </w:rPr>
      </w:pPr>
    </w:p>
    <w:p w14:paraId="3860AC99">
      <w:pPr>
        <w:snapToGrid w:val="0"/>
        <w:spacing w:line="460" w:lineRule="exact"/>
        <w:jc w:val="left"/>
        <w:rPr>
          <w:rStyle w:val="14"/>
          <w:rFonts w:hint="eastAsia" w:cs="仿宋"/>
          <w:color w:val="000000"/>
          <w:sz w:val="28"/>
          <w:szCs w:val="28"/>
          <w:vertAlign w:val="baseline"/>
          <w:lang w:val="en-US" w:eastAsia="zh-CN" w:bidi="ar-SA"/>
        </w:rPr>
      </w:pPr>
      <w:r>
        <w:rPr>
          <w:rStyle w:val="14"/>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74245A9D">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3、生产厂家资质材料；</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4、其他供应商认为应该提供的材料。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w:t>
      </w:r>
      <w:bookmarkStart w:id="11" w:name="_GoBack"/>
      <w:bookmarkEnd w:id="11"/>
      <w:r>
        <w:rPr>
          <w:rFonts w:hint="eastAsia" w:ascii="仿宋" w:hAnsi="仿宋" w:eastAsia="仿宋" w:cs="宋体"/>
          <w:color w:val="000000"/>
          <w:kern w:val="0"/>
          <w:sz w:val="28"/>
          <w:szCs w:val="28"/>
          <w:highlight w:val="yellow"/>
          <w:vertAlign w:val="baseline"/>
          <w:lang w:val="en-US" w:eastAsia="zh-CN"/>
        </w:rPr>
        <w:t>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1DB963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6"/>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3"/>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6"/>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6"/>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6"/>
      <w:framePr w:wrap="around" w:vAnchor="text" w:hAnchor="margin" w:xAlign="center" w:y="1"/>
      <w:rPr>
        <w:rStyle w:val="12"/>
      </w:rPr>
    </w:pPr>
    <w:r>
      <w:fldChar w:fldCharType="begin"/>
    </w:r>
    <w:r>
      <w:rPr>
        <w:rStyle w:val="12"/>
      </w:rPr>
      <w:instrText xml:space="preserve">PAGE  </w:instrText>
    </w:r>
    <w:r>
      <w:fldChar w:fldCharType="end"/>
    </w:r>
  </w:p>
  <w:p w14:paraId="0C7C8449">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3"/>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BD1459"/>
    <w:rsid w:val="052D3B24"/>
    <w:rsid w:val="0715148C"/>
    <w:rsid w:val="08E053FD"/>
    <w:rsid w:val="0B3C188E"/>
    <w:rsid w:val="0B603E17"/>
    <w:rsid w:val="0BC41F21"/>
    <w:rsid w:val="110C12EC"/>
    <w:rsid w:val="12D55D1E"/>
    <w:rsid w:val="143B2DE1"/>
    <w:rsid w:val="14B81425"/>
    <w:rsid w:val="14C76F80"/>
    <w:rsid w:val="15E12F09"/>
    <w:rsid w:val="16455922"/>
    <w:rsid w:val="193E2DCB"/>
    <w:rsid w:val="198F2D53"/>
    <w:rsid w:val="1A66082C"/>
    <w:rsid w:val="1A9A51D3"/>
    <w:rsid w:val="1AFD138A"/>
    <w:rsid w:val="1D735C83"/>
    <w:rsid w:val="1EE838F2"/>
    <w:rsid w:val="1F330EF8"/>
    <w:rsid w:val="1F8E5D51"/>
    <w:rsid w:val="202A5E57"/>
    <w:rsid w:val="213B779A"/>
    <w:rsid w:val="23E72ABF"/>
    <w:rsid w:val="26083FB3"/>
    <w:rsid w:val="270B08D2"/>
    <w:rsid w:val="279D1605"/>
    <w:rsid w:val="281B09C5"/>
    <w:rsid w:val="294E055C"/>
    <w:rsid w:val="296E14AB"/>
    <w:rsid w:val="2AD16DE9"/>
    <w:rsid w:val="2BA12E9E"/>
    <w:rsid w:val="2CA31C32"/>
    <w:rsid w:val="2D375F5B"/>
    <w:rsid w:val="2D7A4C14"/>
    <w:rsid w:val="2EF21B26"/>
    <w:rsid w:val="30930B46"/>
    <w:rsid w:val="33AA7021"/>
    <w:rsid w:val="34F6789C"/>
    <w:rsid w:val="359B6DED"/>
    <w:rsid w:val="35BB5A78"/>
    <w:rsid w:val="365D08DD"/>
    <w:rsid w:val="371E334D"/>
    <w:rsid w:val="387E2B20"/>
    <w:rsid w:val="38812C2C"/>
    <w:rsid w:val="39FC3049"/>
    <w:rsid w:val="3AE076E5"/>
    <w:rsid w:val="3B4E3ED9"/>
    <w:rsid w:val="3C5A27F2"/>
    <w:rsid w:val="3DCA649B"/>
    <w:rsid w:val="3E6158D5"/>
    <w:rsid w:val="3F483EBF"/>
    <w:rsid w:val="417E123A"/>
    <w:rsid w:val="41DA0C77"/>
    <w:rsid w:val="44C77996"/>
    <w:rsid w:val="464E369A"/>
    <w:rsid w:val="46C1293F"/>
    <w:rsid w:val="48AA548E"/>
    <w:rsid w:val="4973433F"/>
    <w:rsid w:val="4AA4190C"/>
    <w:rsid w:val="4D7076AC"/>
    <w:rsid w:val="4D84279B"/>
    <w:rsid w:val="4E056021"/>
    <w:rsid w:val="4F3F325D"/>
    <w:rsid w:val="52074D56"/>
    <w:rsid w:val="525733F7"/>
    <w:rsid w:val="556E3867"/>
    <w:rsid w:val="56F03878"/>
    <w:rsid w:val="57780292"/>
    <w:rsid w:val="5927777C"/>
    <w:rsid w:val="59B23E12"/>
    <w:rsid w:val="5B975D90"/>
    <w:rsid w:val="5F9A5527"/>
    <w:rsid w:val="62402164"/>
    <w:rsid w:val="62F57D15"/>
    <w:rsid w:val="632F44C3"/>
    <w:rsid w:val="64F462FB"/>
    <w:rsid w:val="65915CCD"/>
    <w:rsid w:val="67D02D0E"/>
    <w:rsid w:val="68DD679C"/>
    <w:rsid w:val="6C1D7BEB"/>
    <w:rsid w:val="6D773183"/>
    <w:rsid w:val="6E4062B8"/>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Plain Text"/>
    <w:basedOn w:val="1"/>
    <w:qFormat/>
    <w:uiPriority w:val="99"/>
    <w:pPr>
      <w:widowControl/>
      <w:jc w:val="left"/>
    </w:pPr>
    <w:rPr>
      <w:rFonts w:ascii="宋体" w:hAnsi="Courier New" w:cs="宋体"/>
      <w:kern w:val="0"/>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4">
    <w:name w:val="样式 仿宋"/>
    <w:qFormat/>
    <w:uiPriority w:val="0"/>
    <w:rPr>
      <w:rFonts w:hint="eastAsia" w:ascii="仿宋" w:hAnsi="仿宋" w:eastAsia="仿宋"/>
      <w:kern w:val="2"/>
    </w:rPr>
  </w:style>
  <w:style w:type="character" w:customStyle="1" w:styleId="15">
    <w:name w:val="font51"/>
    <w:basedOn w:val="11"/>
    <w:qFormat/>
    <w:uiPriority w:val="0"/>
    <w:rPr>
      <w:rFonts w:hint="eastAsia" w:ascii="黑体" w:hAnsi="宋体" w:eastAsia="黑体" w:cs="黑体"/>
      <w:color w:val="000000"/>
      <w:sz w:val="36"/>
      <w:szCs w:val="36"/>
      <w:u w:val="none"/>
    </w:rPr>
  </w:style>
  <w:style w:type="character" w:customStyle="1" w:styleId="16">
    <w:name w:val="font61"/>
    <w:basedOn w:val="11"/>
    <w:qFormat/>
    <w:uiPriority w:val="0"/>
    <w:rPr>
      <w:rFonts w:ascii="楷体" w:hAnsi="楷体" w:eastAsia="楷体" w:cs="楷体"/>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宋体" w:hAnsi="宋体" w:eastAsia="宋体" w:cs="宋体"/>
      <w:color w:val="000000"/>
      <w:sz w:val="21"/>
      <w:szCs w:val="21"/>
      <w:u w:val="none"/>
    </w:rPr>
  </w:style>
  <w:style w:type="character" w:customStyle="1" w:styleId="19">
    <w:name w:val="font11"/>
    <w:basedOn w:val="11"/>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1120</Words>
  <Characters>1344</Characters>
  <Lines>0</Lines>
  <Paragraphs>0</Paragraphs>
  <TotalTime>1</TotalTime>
  <ScaleCrop>false</ScaleCrop>
  <LinksUpToDate>false</LinksUpToDate>
  <CharactersWithSpaces>1405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2025-07-31T08:39:01Z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