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eastAsia" w:ascii="黑体" w:eastAsia="黑体"/>
          <w:b/>
          <w:color w:val="auto"/>
          <w:sz w:val="52"/>
          <w:szCs w:val="52"/>
          <w:highlight w:val="none"/>
          <w:vertAlign w:val="baseline"/>
          <w:lang w:val="en-US" w:eastAsia="zh-CN"/>
        </w:rPr>
      </w:pPr>
      <w:r>
        <w:rPr>
          <w:rFonts w:hint="eastAsia" w:ascii="黑体" w:eastAsia="黑体"/>
          <w:b/>
          <w:color w:val="auto"/>
          <w:sz w:val="52"/>
          <w:szCs w:val="52"/>
          <w:highlight w:val="none"/>
          <w:vertAlign w:val="baseline"/>
          <w:lang w:val="en-US" w:eastAsia="zh-CN"/>
        </w:rPr>
        <w:t>审计服务采购项目</w:t>
      </w:r>
    </w:p>
    <w:p w14:paraId="3AFB2912">
      <w:pPr>
        <w:jc w:val="center"/>
        <w:rPr>
          <w:rFonts w:hint="eastAsia" w:ascii="黑体" w:eastAsia="黑体"/>
          <w:b/>
          <w:color w:val="auto"/>
          <w:sz w:val="52"/>
          <w:szCs w:val="52"/>
          <w:highlight w:val="none"/>
          <w:vertAlign w:val="baseline"/>
          <w:lang w:val="en-US" w:eastAsia="zh-CN"/>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99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28</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青岛市妇女儿童医院审计服务采购项目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1、项目名称：青岛市妇女儿童医院审计服务采购项目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99</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097B5779">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具备会计师事务所执业资质；</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5.1.7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E0083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61F6379">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审计服务采购项目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99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pPr w:leftFromText="180" w:rightFromText="180" w:vertAnchor="text" w:tblpXSpec="center" w:tblpY="1"/>
        <w:tblOverlap w:val="never"/>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75"/>
        <w:gridCol w:w="3861"/>
        <w:gridCol w:w="934"/>
        <w:gridCol w:w="833"/>
        <w:gridCol w:w="900"/>
        <w:gridCol w:w="1468"/>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275"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861"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1468"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审计报告出具时间</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275"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泰山学者资金审计服务</w:t>
            </w:r>
          </w:p>
        </w:tc>
        <w:tc>
          <w:tcPr>
            <w:tcW w:w="3861" w:type="dxa"/>
            <w:vAlign w:val="center"/>
          </w:tcPr>
          <w:p w14:paraId="58CA1386">
            <w:pPr>
              <w:numPr>
                <w:ilvl w:val="0"/>
                <w:numId w:val="0"/>
              </w:numPr>
              <w:spacing w:line="240" w:lineRule="auto"/>
              <w:jc w:val="left"/>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一、审计政策依据</w:t>
            </w:r>
          </w:p>
          <w:p w14:paraId="7DB32A1F">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1.《关于进一步完善提升泰山学者工程的意见》和《关于实施泰山产业领军人才工程的意见》（鲁办发〔2014〕36号）；</w:t>
            </w:r>
          </w:p>
          <w:p w14:paraId="0850F37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2.《关于做好泰山学者资金收回有关事项的通知》</w:t>
            </w:r>
          </w:p>
          <w:p w14:paraId="5A424FB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3.被审计项目所涉及业务领域的规章制度、管理办法等；</w:t>
            </w:r>
          </w:p>
          <w:p w14:paraId="1726A58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4.被审计项目签署的项目任务书（合同、协议）等。</w:t>
            </w:r>
          </w:p>
          <w:p w14:paraId="798BB04C">
            <w:pPr>
              <w:numPr>
                <w:ilvl w:val="0"/>
                <w:numId w:val="0"/>
              </w:numPr>
              <w:spacing w:line="240" w:lineRule="auto"/>
              <w:jc w:val="left"/>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二、审计需求</w:t>
            </w:r>
          </w:p>
          <w:p w14:paraId="0604CE80">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上级部门根据《关于进一步完善提升泰山学者工程的意见》“每年给予每位全职选聘泰山学者特聘专家及团队35万元人才津贴，5万元科研补助经费”规定，定期在泰山学者五年管理期内拨款；用人单位为每位泰山学者配套不低于省财政经费资助标准的岗位建设经费。</w:t>
            </w:r>
          </w:p>
          <w:p w14:paraId="09929E4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2024年度管理期已满，现根据泰山学者管理有关规定，医院预委托有资质的供应商开展泰山学者资金审计清算工作，并出具有效力的审计清算报告。</w:t>
            </w:r>
          </w:p>
          <w:p w14:paraId="3E00D9C2">
            <w:pPr>
              <w:numPr>
                <w:ilvl w:val="0"/>
                <w:numId w:val="0"/>
              </w:numPr>
              <w:spacing w:line="240" w:lineRule="auto"/>
              <w:jc w:val="left"/>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三、具体要求</w:t>
            </w:r>
          </w:p>
          <w:p w14:paraId="07822AC3">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1.审计费预算：5000元。</w:t>
            </w:r>
          </w:p>
          <w:p w14:paraId="43FB157C">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2.审计清算报告出具时间：2025年9月8日前。</w:t>
            </w:r>
          </w:p>
          <w:p w14:paraId="07927A5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3.付款方式：项目完成，供应商出具审计清算报告，经医院审计科与相关部门验收通过后，出具全额发票，医院支付审计费。</w:t>
            </w:r>
          </w:p>
          <w:p w14:paraId="4B92F53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4.项目审计报告要求：项目审计报告的内容和格式应符合中国注册会计师审计准则和泰山学者资金审计清算的相关要求。</w:t>
            </w:r>
          </w:p>
          <w:p w14:paraId="14545100">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5.其他：供应商需具备会计师事务所执业资质，并具有相关审计清算资质及科研计划项目审计经验，审计清算报告须经注册会计师行业统一监管平台备案并附二维码。</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5000</w:t>
            </w:r>
          </w:p>
        </w:tc>
        <w:tc>
          <w:tcPr>
            <w:tcW w:w="1468"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202</w:t>
            </w:r>
            <w:r>
              <w:rPr>
                <w:rFonts w:hint="eastAsia" w:ascii="仿宋" w:hAnsi="仿宋" w:eastAsia="仿宋" w:cs="仿宋"/>
                <w:b w:val="0"/>
                <w:bCs/>
                <w:color w:val="auto"/>
                <w:sz w:val="20"/>
                <w:szCs w:val="20"/>
                <w:highlight w:val="none"/>
                <w:vertAlign w:val="baseline"/>
                <w:lang w:val="en-US" w:eastAsia="zh-CN"/>
              </w:rPr>
              <w:t>5年9月8日前</w:t>
            </w:r>
          </w:p>
        </w:tc>
      </w:tr>
    </w:tbl>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22109"/>
      <w:bookmarkStart w:id="6" w:name="_Toc11005"/>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40"/>
        <w:gridCol w:w="855"/>
        <w:gridCol w:w="1095"/>
        <w:gridCol w:w="855"/>
        <w:gridCol w:w="825"/>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服务名称</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（营业执照、资格证书等）；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2、报名供应商的开户许可证/基本账户信息；</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3、公司业绩证明材料：近一年内的证明材料，如开具的增值税专用发票复印件或合同等；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A16C71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EA8368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6F0103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E008E1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4F90094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BFAB35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05CF0D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BEA970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（营业执照、资格证书等）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报名供应商的开户许可证/基本账户信息</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5.3 公司业绩证明材料：近一年内的证明材料，如开具的增值税专用发票复印件或合同等。</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ADC8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四、我方按院方要求，确保在承诺的供货周期内完成服务要求。逾期将按院方供应商管理考核制度，延期支付所有货</w:t>
      </w:r>
      <w:bookmarkStart w:id="11" w:name="_GoBack"/>
      <w:bookmarkEnd w:id="11"/>
      <w:r>
        <w:rPr>
          <w:rFonts w:hint="eastAsia" w:ascii="仿宋" w:hAnsi="仿宋" w:eastAsia="仿宋" w:cs="宋体"/>
          <w:color w:val="auto"/>
          <w:kern w:val="0"/>
          <w:sz w:val="28"/>
          <w:szCs w:val="28"/>
          <w:highlight w:val="none"/>
          <w:vertAlign w:val="baseline"/>
          <w:lang w:val="en-US" w:eastAsia="zh-CN"/>
        </w:rPr>
        <w:t xml:space="preserve">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DA11FD2"/>
    <w:rsid w:val="0F07199D"/>
    <w:rsid w:val="110C12EC"/>
    <w:rsid w:val="12040D82"/>
    <w:rsid w:val="121865DB"/>
    <w:rsid w:val="124D331C"/>
    <w:rsid w:val="12696E37"/>
    <w:rsid w:val="12D55D1E"/>
    <w:rsid w:val="14694F50"/>
    <w:rsid w:val="14C76F80"/>
    <w:rsid w:val="15E12F09"/>
    <w:rsid w:val="160B61C2"/>
    <w:rsid w:val="18AA56E4"/>
    <w:rsid w:val="193E2DCB"/>
    <w:rsid w:val="198F2D53"/>
    <w:rsid w:val="1A66082C"/>
    <w:rsid w:val="1A9A51D3"/>
    <w:rsid w:val="1AFD138A"/>
    <w:rsid w:val="1D2C5AC6"/>
    <w:rsid w:val="1EE838F2"/>
    <w:rsid w:val="1FF50CA5"/>
    <w:rsid w:val="2198329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5C9535D"/>
    <w:rsid w:val="3627310D"/>
    <w:rsid w:val="36C721FA"/>
    <w:rsid w:val="36D371B1"/>
    <w:rsid w:val="37BC1633"/>
    <w:rsid w:val="37DD7A85"/>
    <w:rsid w:val="382A5002"/>
    <w:rsid w:val="387E2B20"/>
    <w:rsid w:val="38FC00EF"/>
    <w:rsid w:val="39FC3049"/>
    <w:rsid w:val="3AE076E5"/>
    <w:rsid w:val="3B4E3ED9"/>
    <w:rsid w:val="3B7444EC"/>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2C50278"/>
    <w:rsid w:val="556E3867"/>
    <w:rsid w:val="55A97849"/>
    <w:rsid w:val="56F03878"/>
    <w:rsid w:val="57F50C15"/>
    <w:rsid w:val="5927777C"/>
    <w:rsid w:val="59396B30"/>
    <w:rsid w:val="59F618C3"/>
    <w:rsid w:val="5B3F7D02"/>
    <w:rsid w:val="5B910C25"/>
    <w:rsid w:val="5B975D90"/>
    <w:rsid w:val="5C4F02C9"/>
    <w:rsid w:val="5DFE3466"/>
    <w:rsid w:val="5E8819C0"/>
    <w:rsid w:val="5F7B7E0C"/>
    <w:rsid w:val="5F9A5527"/>
    <w:rsid w:val="5FBB727F"/>
    <w:rsid w:val="60D35759"/>
    <w:rsid w:val="62402164"/>
    <w:rsid w:val="632F44C3"/>
    <w:rsid w:val="64394349"/>
    <w:rsid w:val="646A2293"/>
    <w:rsid w:val="64F462FB"/>
    <w:rsid w:val="68DD679C"/>
    <w:rsid w:val="68F10B4B"/>
    <w:rsid w:val="6C1D7BEB"/>
    <w:rsid w:val="6C512C2D"/>
    <w:rsid w:val="6D773183"/>
    <w:rsid w:val="6E713C29"/>
    <w:rsid w:val="6F137C43"/>
    <w:rsid w:val="6FCF4D06"/>
    <w:rsid w:val="701D01BA"/>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2149</Words>
  <Characters>2471</Characters>
  <Lines>0</Lines>
  <Paragraphs>0</Paragraphs>
  <TotalTime>4</TotalTime>
  <ScaleCrop>false</ScaleCrop>
  <LinksUpToDate>false</LinksUpToDate>
  <CharactersWithSpaces>2540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2025-08-27T06:09:28Z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