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b/>
          <w:color w:val="auto"/>
          <w:sz w:val="52"/>
          <w:szCs w:val="52"/>
          <w:highlight w:val="none"/>
          <w:vertAlign w:val="baseline"/>
          <w:lang w:val="en-US" w:eastAsia="zh-CN"/>
        </w:rPr>
      </w:pPr>
      <w:r>
        <w:rPr>
          <w:rFonts w:hint="eastAsia" w:ascii="黑体" w:eastAsia="黑体"/>
          <w:b/>
          <w:color w:val="auto"/>
          <w:sz w:val="52"/>
          <w:szCs w:val="52"/>
          <w:highlight w:val="none"/>
          <w:vertAlign w:val="baseline"/>
          <w:lang w:val="en-US" w:eastAsia="zh-CN"/>
        </w:rPr>
        <w:t>审计服务采购项目</w:t>
      </w:r>
    </w:p>
    <w:p w14:paraId="3AFB2912">
      <w:pPr>
        <w:jc w:val="center"/>
        <w:rPr>
          <w:rFonts w:hint="eastAsia" w:ascii="黑体" w:eastAsia="黑体"/>
          <w:b/>
          <w:color w:val="auto"/>
          <w:sz w:val="52"/>
          <w:szCs w:val="52"/>
          <w:highlight w:val="none"/>
          <w:vertAlign w:val="baseline"/>
          <w:lang w:val="en-US" w:eastAsia="zh-CN"/>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99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青岛市妇女儿童医院审计服务采购项目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有相应资质和具有相应供货能力的供应商根据院内磋商文件要求参加本次采购活动，并提供满足要求的货物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1、项目名称：青岛市妇女儿童医院审计服务采购项目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99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097B5779">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具备会计师事务所执业资质；</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5.1.7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院内磋商</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E0083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61F6379">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审计服务采购项目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99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pPr w:leftFromText="180" w:rightFromText="180" w:vertAnchor="text" w:tblpXSpec="center" w:tblpY="1"/>
        <w:tblOverlap w:val="never"/>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75"/>
        <w:gridCol w:w="3861"/>
        <w:gridCol w:w="934"/>
        <w:gridCol w:w="833"/>
        <w:gridCol w:w="900"/>
        <w:gridCol w:w="1468"/>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275"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861"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1468"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审计报告出具时间</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275"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泰山学者资金审计服务</w:t>
            </w:r>
          </w:p>
        </w:tc>
        <w:tc>
          <w:tcPr>
            <w:tcW w:w="3861" w:type="dxa"/>
            <w:vAlign w:val="center"/>
          </w:tcPr>
          <w:p w14:paraId="58CA1386">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一、审计政策依据</w:t>
            </w:r>
          </w:p>
          <w:p w14:paraId="7DB32A1F">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1.《关于进一步完善提升泰山学者工程的意见》和《关于实施泰山产业领军人才工程的意见》（鲁办发〔2014〕36号）；</w:t>
            </w:r>
          </w:p>
          <w:p w14:paraId="0850F37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2.《关于做好泰山学者资金收回有关事项的通知》</w:t>
            </w:r>
          </w:p>
          <w:p w14:paraId="5A424FB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3.被审计项目所涉及业务领域的规章制度、管理办法等；</w:t>
            </w:r>
          </w:p>
          <w:p w14:paraId="1726A58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4.被审计项目签署的项目任务书（合同、协议）等。</w:t>
            </w:r>
          </w:p>
          <w:p w14:paraId="798BB04C">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二、审计需求</w:t>
            </w:r>
          </w:p>
          <w:p w14:paraId="0604CE80">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上级部门根据《关于进一步完善提升泰山学者工程的意见》“每年给予每位全职选聘泰山学者特聘专家及团队35万元人才津贴，5万元科研补助经费”规定，定期在泰山学者五年管理期内拨款；用人单位为每位泰山学者配套不低于省财政经费资助标准的岗位建设经费。</w:t>
            </w:r>
          </w:p>
          <w:p w14:paraId="09929E4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2024年度管理期已满，现根据泰山学者管理有关规定，医院预委托有资质的供应商开展泰山学者资金审计清算工作，并出具有效力的审计清算报告。</w:t>
            </w:r>
          </w:p>
          <w:p w14:paraId="3E00D9C2">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三、具体要求</w:t>
            </w:r>
          </w:p>
          <w:p w14:paraId="07822AC3">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1.审计费预算：5000元。</w:t>
            </w:r>
          </w:p>
          <w:p w14:paraId="43FB157C">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2.审计清算报告出具时间：2025年9月8日前。</w:t>
            </w:r>
          </w:p>
          <w:p w14:paraId="07927A5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3.付款方式：项目完成，供应商出具审计清算报告，经医院审计科与相关部门验收通过后，出具全额发票，医院支付审计费。</w:t>
            </w:r>
          </w:p>
          <w:p w14:paraId="4B92F53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4.项目审计报告要求：项目审计报告的内容和格式应符合中国注册会计师审计准则和泰山学者资金审计清算的相关要求。</w:t>
            </w:r>
          </w:p>
          <w:p w14:paraId="14545100">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5.其他：供应商需具备会计师事务所执业资质，并具有相关审计清算资质及科研计划项目审计经验，审计清算报告须经注册会计师行业统一监管平台备案并附二维码。</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1468"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2025年9月8日前</w:t>
            </w:r>
          </w:p>
        </w:tc>
      </w:tr>
    </w:tbl>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响应供应商应仔细阅读院内磋商采购文件的所有内容，按照院内磋商采购文件的要求及格式编制响应文件，并保证其真实性，否则一切后果自负。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评分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6D36A12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40"/>
        <w:gridCol w:w="855"/>
        <w:gridCol w:w="1095"/>
        <w:gridCol w:w="855"/>
        <w:gridCol w:w="825"/>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服务名称</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（营业执照、资格证书等）；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3、公司业绩证明材料：近一年内的证明材料，如开具的增值税专用发票复印件或合同等；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4、其他供应商认为应该提供的材料（服务方案、</w:t>
      </w:r>
      <w:r>
        <w:rPr>
          <w:rFonts w:hint="eastAsia" w:ascii="仿宋" w:hAnsi="仿宋" w:eastAsia="仿宋" w:cs="宋体"/>
          <w:color w:val="auto"/>
          <w:kern w:val="0"/>
          <w:sz w:val="28"/>
          <w:szCs w:val="28"/>
          <w:highlight w:val="none"/>
          <w:vertAlign w:val="baseline"/>
          <w:lang w:val="zh-CN" w:eastAsia="zh-CN"/>
        </w:rPr>
        <w:t>服务保证措施</w:t>
      </w:r>
      <w:r>
        <w:rPr>
          <w:rFonts w:hint="eastAsia" w:ascii="仿宋" w:hAnsi="仿宋" w:eastAsia="仿宋" w:cs="宋体"/>
          <w:color w:val="auto"/>
          <w:kern w:val="0"/>
          <w:sz w:val="28"/>
          <w:szCs w:val="28"/>
          <w:highlight w:val="none"/>
          <w:vertAlign w:val="baseline"/>
          <w:lang w:val="en-US" w:eastAsia="zh-CN"/>
        </w:rPr>
        <w:t>等）。</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A16C71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EA8368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6F0103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E008E1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F90094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BFAB35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5CF0D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BEA970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（营业执照、资格证书等）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报名供应商的开户许可证/基本账户信息</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5.3 公司业绩证明材料：近一年内的证明材料，如开具的增值税专用发票复印件或合同等。</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ADC8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三、我方给贵院所供服务价格均不高于市场价或政府限价，否则,贵院有权拒绝付款。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四、我方按院方要求，确保在承诺的供货周期内完成服务要求。逾期将按院方供应商管理考核制度，延期支付所有货款一个月。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2A36A1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1、报价得分 = 磋商基准价÷（最终价格）× 满分（满分40分）；</w:t>
      </w:r>
    </w:p>
    <w:p w14:paraId="4786234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2、企业业绩：2024年1月1日至响应文件递交截止时间止承揽过的同类审计项目，每项得2分（满分10分）；</w:t>
      </w:r>
    </w:p>
    <w:p w14:paraId="50ECDFB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3、出具报告时间：截止日期为2025年9月8日，提前一天得2分（满分10分）；</w:t>
      </w:r>
    </w:p>
    <w:p w14:paraId="6CBAE33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服务方案：整体服务方案详细，合理，可行性高，贴合项目需求的得20分；整体服务方案比较详细，合理，可行性较高，基本贴合项目需求的得12分；整体服务方案一般，可行性不高的得5分；未描述不得分。（满分20分）</w:t>
      </w:r>
    </w:p>
    <w:p w14:paraId="05A133EB">
      <w:pPr>
        <w:widowControl/>
        <w:spacing w:line="36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5、服务保证措施：供应商组织机构健全，内部管理制度完整，具备工作记录收集、反馈及保密等服务保障措施的得20分；组织机构比较健全，内部管理制度比较完整，具备工作记录收集、反馈及保密等服务保障措施的得12分；组织机构及内部管理制度有缺失的得5分；未描述不得分。（满分20分）</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75E6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9D51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286FB6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2613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B436CC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bookmarkStart w:id="11" w:name="_GoBack"/>
      <w:bookmarkEnd w:id="11"/>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DA11FD2"/>
    <w:rsid w:val="0F07199D"/>
    <w:rsid w:val="110C12EC"/>
    <w:rsid w:val="12040D82"/>
    <w:rsid w:val="121865DB"/>
    <w:rsid w:val="124D331C"/>
    <w:rsid w:val="12696E37"/>
    <w:rsid w:val="12D55D1E"/>
    <w:rsid w:val="14694F50"/>
    <w:rsid w:val="14C76F80"/>
    <w:rsid w:val="15E12F09"/>
    <w:rsid w:val="160B61C2"/>
    <w:rsid w:val="18AA56E4"/>
    <w:rsid w:val="193E2DCB"/>
    <w:rsid w:val="198F2D53"/>
    <w:rsid w:val="1A66082C"/>
    <w:rsid w:val="1A9A51D3"/>
    <w:rsid w:val="1AFD138A"/>
    <w:rsid w:val="1D2C5AC6"/>
    <w:rsid w:val="1EE838F2"/>
    <w:rsid w:val="1FF50CA5"/>
    <w:rsid w:val="2198329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5C9535D"/>
    <w:rsid w:val="3627310D"/>
    <w:rsid w:val="36C721FA"/>
    <w:rsid w:val="36D371B1"/>
    <w:rsid w:val="37BC1633"/>
    <w:rsid w:val="37DD7A85"/>
    <w:rsid w:val="382A5002"/>
    <w:rsid w:val="387E2B20"/>
    <w:rsid w:val="38FC00EF"/>
    <w:rsid w:val="39FC3049"/>
    <w:rsid w:val="3AE076E5"/>
    <w:rsid w:val="3B4E3ED9"/>
    <w:rsid w:val="3B7444EC"/>
    <w:rsid w:val="3C5A27F2"/>
    <w:rsid w:val="3CA737D7"/>
    <w:rsid w:val="3D3D7D3A"/>
    <w:rsid w:val="3D475E43"/>
    <w:rsid w:val="3DC8013A"/>
    <w:rsid w:val="3E6158D5"/>
    <w:rsid w:val="417E123A"/>
    <w:rsid w:val="42EC2479"/>
    <w:rsid w:val="44B53FC2"/>
    <w:rsid w:val="46A24A05"/>
    <w:rsid w:val="477D4822"/>
    <w:rsid w:val="48AA548E"/>
    <w:rsid w:val="4973433F"/>
    <w:rsid w:val="49E45221"/>
    <w:rsid w:val="4CD3045E"/>
    <w:rsid w:val="4CD86AB8"/>
    <w:rsid w:val="4D84279B"/>
    <w:rsid w:val="4E056021"/>
    <w:rsid w:val="4F3F325D"/>
    <w:rsid w:val="502668C8"/>
    <w:rsid w:val="51542485"/>
    <w:rsid w:val="52074D56"/>
    <w:rsid w:val="52C50278"/>
    <w:rsid w:val="556E3867"/>
    <w:rsid w:val="55A97849"/>
    <w:rsid w:val="56F03878"/>
    <w:rsid w:val="57F50C15"/>
    <w:rsid w:val="5927777C"/>
    <w:rsid w:val="59396B30"/>
    <w:rsid w:val="59F618C3"/>
    <w:rsid w:val="5B3F7D02"/>
    <w:rsid w:val="5B910C25"/>
    <w:rsid w:val="5B975D90"/>
    <w:rsid w:val="5C4F02C9"/>
    <w:rsid w:val="5DFE3466"/>
    <w:rsid w:val="5E8819C0"/>
    <w:rsid w:val="5F7B7E0C"/>
    <w:rsid w:val="5F9A5527"/>
    <w:rsid w:val="5FBB727F"/>
    <w:rsid w:val="60D35759"/>
    <w:rsid w:val="62402164"/>
    <w:rsid w:val="632F44C3"/>
    <w:rsid w:val="64394349"/>
    <w:rsid w:val="646A2293"/>
    <w:rsid w:val="64F462FB"/>
    <w:rsid w:val="68DD679C"/>
    <w:rsid w:val="68F10B4B"/>
    <w:rsid w:val="6C1D7BEB"/>
    <w:rsid w:val="6C512C2D"/>
    <w:rsid w:val="6D773183"/>
    <w:rsid w:val="6E713C29"/>
    <w:rsid w:val="6F137C43"/>
    <w:rsid w:val="6FCF4D06"/>
    <w:rsid w:val="701D01BA"/>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CDF4544"/>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3032</Words>
  <Characters>3343</Characters>
  <Lines>0</Lines>
  <Paragraphs>0</Paragraphs>
  <TotalTime>0</TotalTime>
  <ScaleCrop>false</ScaleCrop>
  <LinksUpToDate>false</LinksUpToDate>
  <CharactersWithSpaces>3456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2025-08-29T05:41:20Z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