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印刷品（十八）采购项目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w:t>
      </w:r>
      <w:r>
        <w:rPr>
          <w:rFonts w:hint="eastAsia" w:ascii="黑体" w:eastAsia="黑体"/>
          <w:bCs/>
          <w:color w:val="000000"/>
          <w:sz w:val="32"/>
          <w:szCs w:val="32"/>
          <w:vertAlign w:val="baseline"/>
          <w:lang w:val="en-US" w:eastAsia="zh-CN"/>
        </w:rPr>
        <w:t>193</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28</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青岛市妇女儿童医院印刷品（十八）采购项目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十八</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w:t>
      </w:r>
      <w:r>
        <w:rPr>
          <w:rFonts w:hint="eastAsia" w:ascii="仿宋" w:hAnsi="仿宋" w:eastAsia="仿宋" w:cs="宋体"/>
          <w:color w:val="000000"/>
          <w:sz w:val="24"/>
          <w:szCs w:val="24"/>
          <w:vertAlign w:val="baseline"/>
          <w:lang w:val="en-US" w:eastAsia="zh-CN"/>
        </w:rPr>
        <w:t>193</w:t>
      </w:r>
    </w:p>
    <w:p w14:paraId="2EBC9BBB">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28</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12</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1</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r>
        <w:rPr>
          <w:rFonts w:hint="eastAsia" w:ascii="仿宋" w:hAnsi="仿宋" w:eastAsia="仿宋" w:cs="宋体"/>
          <w:b/>
          <w:bCs/>
          <w:color w:val="000000"/>
          <w:sz w:val="24"/>
          <w:szCs w:val="24"/>
          <w:vertAlign w:val="baseline"/>
          <w:lang w:val="en-US" w:eastAsia="zh-CN"/>
        </w:rPr>
        <w:t>及报名的包组</w:t>
      </w:r>
      <w:r>
        <w:rPr>
          <w:rFonts w:hint="eastAsia" w:ascii="仿宋" w:hAnsi="仿宋" w:eastAsia="仿宋" w:cs="宋体"/>
          <w:color w:val="000000"/>
          <w:sz w:val="24"/>
          <w:szCs w:val="24"/>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lang w:eastAsia="zh-CN"/>
              </w:rPr>
            </w:pPr>
            <w:r>
              <w:rPr>
                <w:rFonts w:hint="eastAsia" w:ascii="仿宋" w:hAnsi="仿宋" w:eastAsia="仿宋" w:cs="仿宋"/>
                <w:sz w:val="44"/>
                <w:szCs w:val="44"/>
              </w:rPr>
              <w:t>备注</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报名的包组</w:t>
            </w:r>
            <w:r>
              <w:rPr>
                <w:rFonts w:hint="eastAsia" w:ascii="仿宋" w:hAnsi="仿宋" w:eastAsia="仿宋" w:cs="仿宋"/>
                <w:sz w:val="44"/>
                <w:szCs w:val="44"/>
                <w:lang w:eastAsia="zh-CN"/>
              </w:rPr>
              <w:t>）</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bookmarkStart w:id="11" w:name="_GoBack"/>
      <w:bookmarkEnd w:id="11"/>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87</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p w14:paraId="1D9B1179">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第一包 临床药讯（预算金额：3000元）</w:t>
      </w:r>
    </w:p>
    <w:tbl>
      <w:tblPr>
        <w:tblStyle w:val="9"/>
        <w:tblW w:w="11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22"/>
        <w:gridCol w:w="4754"/>
        <w:gridCol w:w="75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42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754"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6855310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页数</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422" w:type="dxa"/>
            <w:vAlign w:val="center"/>
          </w:tcPr>
          <w:p w14:paraId="175B975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临床药讯</w:t>
            </w:r>
          </w:p>
        </w:tc>
        <w:tc>
          <w:tcPr>
            <w:tcW w:w="4754" w:type="dxa"/>
            <w:vAlign w:val="center"/>
          </w:tcPr>
          <w:p w14:paraId="667831B8">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尺寸要求：28.5cm*21cm；</w:t>
            </w:r>
          </w:p>
          <w:p w14:paraId="3E27003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约70-80页，双面彩色打印；</w:t>
            </w:r>
          </w:p>
          <w:p w14:paraId="7DE4CAF7">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纸张要求：封面纸张200克覆雅膜、内页纸张为105克铜板纸，胶装；</w:t>
            </w:r>
          </w:p>
          <w:p w14:paraId="58B91B91">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供应商须根据使用科室要求进行排版、设计等。</w:t>
            </w:r>
          </w:p>
        </w:tc>
        <w:tc>
          <w:tcPr>
            <w:tcW w:w="750" w:type="dxa"/>
            <w:vAlign w:val="center"/>
          </w:tcPr>
          <w:p w14:paraId="0DCF324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70页左右</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w:t>
            </w:r>
          </w:p>
        </w:tc>
        <w:tc>
          <w:tcPr>
            <w:tcW w:w="742" w:type="dxa"/>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7888C8CD">
      <w:pPr>
        <w:widowControl w:val="0"/>
        <w:numPr>
          <w:ilvl w:val="0"/>
          <w:numId w:val="0"/>
        </w:numPr>
        <w:spacing w:line="240" w:lineRule="auto"/>
        <w:jc w:val="both"/>
        <w:rPr>
          <w:rFonts w:hint="default" w:ascii="仿宋" w:hAnsi="仿宋" w:eastAsia="仿宋" w:cs="仿宋"/>
          <w:bCs/>
          <w:color w:val="000000"/>
          <w:sz w:val="22"/>
          <w:szCs w:val="22"/>
          <w:vertAlign w:val="baseline"/>
          <w:lang w:val="en-US" w:eastAsia="zh-CN"/>
        </w:rPr>
      </w:pPr>
    </w:p>
    <w:p w14:paraId="47B0C06B">
      <w:pPr>
        <w:numPr>
          <w:ilvl w:val="0"/>
          <w:numId w:val="0"/>
        </w:numPr>
        <w:spacing w:line="240" w:lineRule="auto"/>
        <w:rPr>
          <w:rFonts w:hint="default" w:ascii="仿宋" w:hAnsi="仿宋" w:eastAsia="仿宋" w:cs="仿宋"/>
          <w:b/>
          <w:bCs w:val="0"/>
          <w:color w:val="000000"/>
          <w:sz w:val="22"/>
          <w:szCs w:val="22"/>
          <w:vertAlign w:val="baseline"/>
          <w:lang w:val="en-US" w:eastAsia="zh-CN"/>
        </w:rPr>
      </w:pPr>
      <w:r>
        <w:rPr>
          <w:rFonts w:hint="eastAsia" w:ascii="仿宋" w:hAnsi="仿宋" w:eastAsia="仿宋" w:cs="仿宋"/>
          <w:b/>
          <w:bCs w:val="0"/>
          <w:color w:val="000000"/>
          <w:sz w:val="22"/>
          <w:szCs w:val="22"/>
          <w:vertAlign w:val="baseline"/>
          <w:lang w:val="en-US" w:eastAsia="zh-CN"/>
        </w:rPr>
        <w:t>第二包 宣传物料（预算金额：10000元）</w:t>
      </w:r>
    </w:p>
    <w:tbl>
      <w:tblPr>
        <w:tblStyle w:val="9"/>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54"/>
        <w:gridCol w:w="4475"/>
        <w:gridCol w:w="750"/>
        <w:gridCol w:w="827"/>
        <w:gridCol w:w="742"/>
        <w:gridCol w:w="742"/>
        <w:gridCol w:w="742"/>
      </w:tblGrid>
      <w:tr w14:paraId="3BE1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25" w:type="dxa"/>
            <w:vAlign w:val="center"/>
          </w:tcPr>
          <w:p w14:paraId="5C6B2252">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序号</w:t>
            </w:r>
          </w:p>
        </w:tc>
        <w:tc>
          <w:tcPr>
            <w:tcW w:w="1554" w:type="dxa"/>
            <w:vAlign w:val="center"/>
          </w:tcPr>
          <w:p w14:paraId="2DC24B7C">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印刷品名称</w:t>
            </w:r>
          </w:p>
        </w:tc>
        <w:tc>
          <w:tcPr>
            <w:tcW w:w="4475" w:type="dxa"/>
            <w:vAlign w:val="center"/>
          </w:tcPr>
          <w:p w14:paraId="175A21ED">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参数要求</w:t>
            </w:r>
          </w:p>
        </w:tc>
        <w:tc>
          <w:tcPr>
            <w:tcW w:w="750" w:type="dxa"/>
            <w:vAlign w:val="center"/>
          </w:tcPr>
          <w:p w14:paraId="29628A97">
            <w:pPr>
              <w:numPr>
                <w:ilvl w:val="0"/>
                <w:numId w:val="0"/>
              </w:numPr>
              <w:spacing w:line="240" w:lineRule="auto"/>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预算单价</w:t>
            </w:r>
          </w:p>
          <w:p w14:paraId="1E42D32C">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（元）</w:t>
            </w:r>
          </w:p>
        </w:tc>
        <w:tc>
          <w:tcPr>
            <w:tcW w:w="827" w:type="dxa"/>
            <w:vAlign w:val="center"/>
          </w:tcPr>
          <w:p w14:paraId="6300C833">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数量及单位</w:t>
            </w:r>
          </w:p>
        </w:tc>
        <w:tc>
          <w:tcPr>
            <w:tcW w:w="742" w:type="dxa"/>
            <w:vAlign w:val="center"/>
          </w:tcPr>
          <w:p w14:paraId="34D296C3">
            <w:pPr>
              <w:numPr>
                <w:ilvl w:val="0"/>
                <w:numId w:val="0"/>
              </w:numPr>
              <w:spacing w:line="240" w:lineRule="auto"/>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预算总价</w:t>
            </w:r>
          </w:p>
          <w:p w14:paraId="70346405">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（元）</w:t>
            </w:r>
          </w:p>
        </w:tc>
        <w:tc>
          <w:tcPr>
            <w:tcW w:w="742" w:type="dxa"/>
            <w:vAlign w:val="center"/>
          </w:tcPr>
          <w:p w14:paraId="15E009F7">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交货期</w:t>
            </w:r>
          </w:p>
        </w:tc>
        <w:tc>
          <w:tcPr>
            <w:tcW w:w="742" w:type="dxa"/>
            <w:vAlign w:val="center"/>
          </w:tcPr>
          <w:p w14:paraId="4599B80C">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质保期</w:t>
            </w:r>
          </w:p>
        </w:tc>
      </w:tr>
      <w:tr w14:paraId="78B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25" w:type="dxa"/>
            <w:vAlign w:val="center"/>
          </w:tcPr>
          <w:p w14:paraId="63C70E6C">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1</w:t>
            </w:r>
          </w:p>
        </w:tc>
        <w:tc>
          <w:tcPr>
            <w:tcW w:w="1554" w:type="dxa"/>
            <w:vAlign w:val="center"/>
          </w:tcPr>
          <w:p w14:paraId="5CD3C5DF">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宣传折页</w:t>
            </w:r>
          </w:p>
        </w:tc>
        <w:tc>
          <w:tcPr>
            <w:tcW w:w="4475" w:type="dxa"/>
            <w:vAlign w:val="center"/>
          </w:tcPr>
          <w:p w14:paraId="427F40CC">
            <w:pPr>
              <w:numPr>
                <w:ilvl w:val="0"/>
                <w:numId w:val="5"/>
              </w:numPr>
              <w:spacing w:line="240" w:lineRule="auto"/>
              <w:jc w:val="left"/>
              <w:rPr>
                <w:rFonts w:hint="eastAsia"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根据使用科室要求进行排版、设计、打样</w:t>
            </w:r>
            <w:r>
              <w:rPr>
                <w:rFonts w:hint="eastAsia" w:ascii="仿宋" w:hAnsi="仿宋" w:eastAsia="仿宋" w:cs="仿宋"/>
                <w:bCs/>
                <w:color w:val="000000"/>
                <w:sz w:val="20"/>
                <w:szCs w:val="20"/>
                <w:vertAlign w:val="baseline"/>
                <w:lang w:val="en-US" w:eastAsia="zh-CN"/>
              </w:rPr>
              <w:t>；</w:t>
            </w:r>
          </w:p>
          <w:p w14:paraId="21926BE4">
            <w:pPr>
              <w:numPr>
                <w:ilvl w:val="0"/>
                <w:numId w:val="5"/>
              </w:numPr>
              <w:spacing w:line="240" w:lineRule="auto"/>
              <w:jc w:val="left"/>
              <w:rPr>
                <w:rFonts w:hint="default"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参考尺寸：长210mm，宽380cmm；专色印刷</w:t>
            </w:r>
            <w:r>
              <w:rPr>
                <w:rFonts w:hint="eastAsia" w:ascii="仿宋" w:hAnsi="仿宋" w:eastAsia="仿宋" w:cs="仿宋"/>
                <w:bCs/>
                <w:color w:val="000000"/>
                <w:sz w:val="20"/>
                <w:szCs w:val="20"/>
                <w:vertAlign w:val="baseline"/>
                <w:lang w:val="en-US" w:eastAsia="zh-CN"/>
              </w:rPr>
              <w:t>；</w:t>
            </w:r>
          </w:p>
          <w:p w14:paraId="4936751B">
            <w:pPr>
              <w:numPr>
                <w:ilvl w:val="0"/>
                <w:numId w:val="5"/>
              </w:numPr>
              <w:spacing w:line="240" w:lineRule="auto"/>
              <w:jc w:val="left"/>
              <w:rPr>
                <w:rFonts w:hint="default"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 xml:space="preserve"> 250g铜版纸；双面覆膜</w:t>
            </w:r>
            <w:r>
              <w:rPr>
                <w:rFonts w:hint="eastAsia" w:ascii="仿宋" w:hAnsi="仿宋" w:eastAsia="仿宋" w:cs="仿宋"/>
                <w:bCs/>
                <w:color w:val="000000"/>
                <w:sz w:val="20"/>
                <w:szCs w:val="20"/>
                <w:vertAlign w:val="baseline"/>
                <w:lang w:val="en-US" w:eastAsia="zh-CN"/>
              </w:rPr>
              <w:t>。</w:t>
            </w:r>
            <w:r>
              <w:rPr>
                <w:rFonts w:hint="default" w:ascii="仿宋" w:hAnsi="仿宋" w:eastAsia="仿宋" w:cs="仿宋"/>
                <w:bCs/>
                <w:color w:val="000000"/>
                <w:sz w:val="20"/>
                <w:szCs w:val="20"/>
                <w:vertAlign w:val="baseline"/>
                <w:lang w:val="en-US" w:eastAsia="zh-CN"/>
              </w:rPr>
              <w:t xml:space="preserve"> </w:t>
            </w:r>
          </w:p>
        </w:tc>
        <w:tc>
          <w:tcPr>
            <w:tcW w:w="750" w:type="dxa"/>
            <w:vAlign w:val="center"/>
          </w:tcPr>
          <w:p w14:paraId="12F3300C">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0.5</w:t>
            </w:r>
          </w:p>
        </w:tc>
        <w:tc>
          <w:tcPr>
            <w:tcW w:w="827" w:type="dxa"/>
            <w:vAlign w:val="center"/>
          </w:tcPr>
          <w:p w14:paraId="2B375005">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5000张</w:t>
            </w:r>
          </w:p>
        </w:tc>
        <w:tc>
          <w:tcPr>
            <w:tcW w:w="742" w:type="dxa"/>
            <w:vAlign w:val="center"/>
          </w:tcPr>
          <w:p w14:paraId="63022875">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2500</w:t>
            </w:r>
          </w:p>
        </w:tc>
        <w:tc>
          <w:tcPr>
            <w:tcW w:w="742" w:type="dxa"/>
            <w:vAlign w:val="center"/>
          </w:tcPr>
          <w:p w14:paraId="19DF6E07">
            <w:pPr>
              <w:numPr>
                <w:ilvl w:val="0"/>
                <w:numId w:val="0"/>
              </w:numPr>
              <w:spacing w:line="240" w:lineRule="auto"/>
              <w:ind w:left="0" w:leftChars="0" w:firstLine="0" w:firstLineChars="0"/>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5天</w:t>
            </w:r>
          </w:p>
        </w:tc>
        <w:tc>
          <w:tcPr>
            <w:tcW w:w="742" w:type="dxa"/>
            <w:vAlign w:val="center"/>
          </w:tcPr>
          <w:p w14:paraId="5410F66D">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1年</w:t>
            </w:r>
          </w:p>
        </w:tc>
      </w:tr>
      <w:tr w14:paraId="15CF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5" w:type="dxa"/>
            <w:vAlign w:val="center"/>
          </w:tcPr>
          <w:p w14:paraId="7FDFF091">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2</w:t>
            </w:r>
          </w:p>
        </w:tc>
        <w:tc>
          <w:tcPr>
            <w:tcW w:w="1554" w:type="dxa"/>
            <w:vAlign w:val="center"/>
          </w:tcPr>
          <w:p w14:paraId="37C1C448">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宣传册</w:t>
            </w:r>
          </w:p>
        </w:tc>
        <w:tc>
          <w:tcPr>
            <w:tcW w:w="4475" w:type="dxa"/>
            <w:vAlign w:val="center"/>
          </w:tcPr>
          <w:p w14:paraId="05536CAB">
            <w:pPr>
              <w:numPr>
                <w:ilvl w:val="0"/>
                <w:numId w:val="6"/>
              </w:numPr>
              <w:spacing w:line="240" w:lineRule="auto"/>
              <w:jc w:val="left"/>
              <w:rPr>
                <w:rFonts w:hint="eastAsia"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根据使用科室要求进行排版、设计、打样</w:t>
            </w:r>
            <w:r>
              <w:rPr>
                <w:rFonts w:hint="eastAsia" w:ascii="仿宋" w:hAnsi="仿宋" w:eastAsia="仿宋" w:cs="仿宋"/>
                <w:bCs/>
                <w:color w:val="000000"/>
                <w:sz w:val="20"/>
                <w:szCs w:val="20"/>
                <w:vertAlign w:val="baseline"/>
                <w:lang w:val="en-US" w:eastAsia="zh-CN"/>
              </w:rPr>
              <w:t>；</w:t>
            </w:r>
          </w:p>
          <w:p w14:paraId="3C07B812">
            <w:pPr>
              <w:numPr>
                <w:ilvl w:val="0"/>
                <w:numId w:val="6"/>
              </w:numPr>
              <w:spacing w:line="240" w:lineRule="auto"/>
              <w:jc w:val="left"/>
              <w:rPr>
                <w:rFonts w:hint="default"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参考尺寸：长210mm，宽</w:t>
            </w:r>
            <w:r>
              <w:rPr>
                <w:rFonts w:hint="eastAsia" w:ascii="仿宋" w:hAnsi="仿宋" w:eastAsia="仿宋" w:cs="仿宋"/>
                <w:bCs/>
                <w:color w:val="000000"/>
                <w:sz w:val="20"/>
                <w:szCs w:val="20"/>
                <w:vertAlign w:val="baseline"/>
                <w:lang w:val="en-US" w:eastAsia="zh-CN"/>
              </w:rPr>
              <w:t>285</w:t>
            </w:r>
            <w:r>
              <w:rPr>
                <w:rFonts w:hint="default" w:ascii="仿宋" w:hAnsi="仿宋" w:eastAsia="仿宋" w:cs="仿宋"/>
                <w:bCs/>
                <w:color w:val="000000"/>
                <w:sz w:val="20"/>
                <w:szCs w:val="20"/>
                <w:vertAlign w:val="baseline"/>
                <w:lang w:val="en-US" w:eastAsia="zh-CN"/>
              </w:rPr>
              <w:t>cmm；</w:t>
            </w:r>
            <w:r>
              <w:rPr>
                <w:rFonts w:hint="eastAsia" w:ascii="仿宋" w:hAnsi="仿宋" w:eastAsia="仿宋" w:cs="仿宋"/>
                <w:bCs/>
                <w:color w:val="000000"/>
                <w:sz w:val="20"/>
                <w:szCs w:val="20"/>
                <w:vertAlign w:val="baseline"/>
                <w:lang w:val="en-US" w:eastAsia="zh-CN"/>
              </w:rPr>
              <w:t>长边装订；</w:t>
            </w:r>
            <w:r>
              <w:rPr>
                <w:rFonts w:hint="default" w:ascii="仿宋" w:hAnsi="仿宋" w:eastAsia="仿宋" w:cs="仿宋"/>
                <w:bCs/>
                <w:color w:val="000000"/>
                <w:sz w:val="20"/>
                <w:szCs w:val="20"/>
                <w:vertAlign w:val="baseline"/>
                <w:lang w:val="en-US" w:eastAsia="zh-CN"/>
              </w:rPr>
              <w:t>专色印刷</w:t>
            </w:r>
            <w:r>
              <w:rPr>
                <w:rFonts w:hint="eastAsia" w:ascii="仿宋" w:hAnsi="仿宋" w:eastAsia="仿宋" w:cs="仿宋"/>
                <w:bCs/>
                <w:color w:val="000000"/>
                <w:sz w:val="20"/>
                <w:szCs w:val="20"/>
                <w:vertAlign w:val="baseline"/>
                <w:lang w:val="en-US" w:eastAsia="zh-CN"/>
              </w:rPr>
              <w:t>；</w:t>
            </w:r>
          </w:p>
          <w:p w14:paraId="601BA385">
            <w:pPr>
              <w:numPr>
                <w:ilvl w:val="0"/>
                <w:numId w:val="0"/>
              </w:numPr>
              <w:spacing w:line="240" w:lineRule="auto"/>
              <w:jc w:val="left"/>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3、根据科室要求定制纸张，精装。</w:t>
            </w:r>
          </w:p>
        </w:tc>
        <w:tc>
          <w:tcPr>
            <w:tcW w:w="750" w:type="dxa"/>
            <w:vAlign w:val="center"/>
          </w:tcPr>
          <w:p w14:paraId="1083A50B">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25</w:t>
            </w:r>
          </w:p>
        </w:tc>
        <w:tc>
          <w:tcPr>
            <w:tcW w:w="827" w:type="dxa"/>
            <w:vAlign w:val="center"/>
          </w:tcPr>
          <w:p w14:paraId="34AB3FEC">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300本</w:t>
            </w:r>
          </w:p>
        </w:tc>
        <w:tc>
          <w:tcPr>
            <w:tcW w:w="742" w:type="dxa"/>
            <w:vAlign w:val="center"/>
          </w:tcPr>
          <w:p w14:paraId="4B783DDD">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7500</w:t>
            </w:r>
          </w:p>
        </w:tc>
        <w:tc>
          <w:tcPr>
            <w:tcW w:w="742" w:type="dxa"/>
            <w:vAlign w:val="center"/>
          </w:tcPr>
          <w:p w14:paraId="1A8C0BD2">
            <w:pPr>
              <w:numPr>
                <w:ilvl w:val="0"/>
                <w:numId w:val="0"/>
              </w:numPr>
              <w:spacing w:line="240" w:lineRule="auto"/>
              <w:ind w:left="0" w:leftChars="0" w:firstLine="0" w:firstLineChars="0"/>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5天</w:t>
            </w:r>
          </w:p>
        </w:tc>
        <w:tc>
          <w:tcPr>
            <w:tcW w:w="742" w:type="dxa"/>
            <w:vAlign w:val="center"/>
          </w:tcPr>
          <w:p w14:paraId="5A0E5287">
            <w:pPr>
              <w:numPr>
                <w:ilvl w:val="0"/>
                <w:numId w:val="0"/>
              </w:numPr>
              <w:spacing w:line="240" w:lineRule="auto"/>
              <w:ind w:left="0" w:leftChars="0" w:firstLine="0" w:firstLineChars="0"/>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1年</w:t>
            </w:r>
          </w:p>
        </w:tc>
      </w:tr>
    </w:tbl>
    <w:p w14:paraId="5AEB8F03">
      <w:pPr>
        <w:widowControl w:val="0"/>
        <w:numPr>
          <w:ilvl w:val="0"/>
          <w:numId w:val="0"/>
        </w:numPr>
        <w:spacing w:line="240" w:lineRule="auto"/>
        <w:jc w:val="both"/>
        <w:rPr>
          <w:rFonts w:hint="default" w:ascii="仿宋" w:hAnsi="仿宋" w:eastAsia="仿宋" w:cs="仿宋"/>
          <w:bCs/>
          <w:color w:val="000000"/>
          <w:sz w:val="22"/>
          <w:szCs w:val="22"/>
          <w:vertAlign w:val="baseline"/>
          <w:lang w:val="en-US" w:eastAsia="zh-CN"/>
        </w:rPr>
      </w:pPr>
    </w:p>
    <w:p w14:paraId="0AEE5A02">
      <w:pPr>
        <w:numPr>
          <w:ilvl w:val="0"/>
          <w:numId w:val="0"/>
        </w:numPr>
        <w:spacing w:line="240" w:lineRule="auto"/>
        <w:rPr>
          <w:rFonts w:hint="default" w:ascii="仿宋" w:hAnsi="仿宋" w:eastAsia="仿宋" w:cs="仿宋"/>
          <w:b/>
          <w:bCs w:val="0"/>
          <w:color w:val="000000"/>
          <w:sz w:val="22"/>
          <w:szCs w:val="22"/>
          <w:vertAlign w:val="baseline"/>
          <w:lang w:val="en-US" w:eastAsia="zh-CN"/>
        </w:rPr>
      </w:pPr>
      <w:r>
        <w:rPr>
          <w:rFonts w:hint="eastAsia" w:ascii="仿宋" w:hAnsi="仿宋" w:eastAsia="仿宋" w:cs="仿宋"/>
          <w:b/>
          <w:bCs w:val="0"/>
          <w:color w:val="000000"/>
          <w:sz w:val="22"/>
          <w:szCs w:val="22"/>
          <w:vertAlign w:val="baseline"/>
          <w:lang w:val="en-US" w:eastAsia="zh-CN"/>
        </w:rPr>
        <w:t>第三包 全彩印制按钮口文件袋（预算金额：4800元）</w:t>
      </w:r>
    </w:p>
    <w:tbl>
      <w:tblPr>
        <w:tblStyle w:val="9"/>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54"/>
        <w:gridCol w:w="4475"/>
        <w:gridCol w:w="750"/>
        <w:gridCol w:w="827"/>
        <w:gridCol w:w="742"/>
        <w:gridCol w:w="742"/>
        <w:gridCol w:w="742"/>
      </w:tblGrid>
      <w:tr w14:paraId="47FC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25" w:type="dxa"/>
            <w:vAlign w:val="center"/>
          </w:tcPr>
          <w:p w14:paraId="75F35A10">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序号</w:t>
            </w:r>
          </w:p>
        </w:tc>
        <w:tc>
          <w:tcPr>
            <w:tcW w:w="1554" w:type="dxa"/>
            <w:vAlign w:val="center"/>
          </w:tcPr>
          <w:p w14:paraId="44E44859">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印刷品名称</w:t>
            </w:r>
          </w:p>
        </w:tc>
        <w:tc>
          <w:tcPr>
            <w:tcW w:w="4475" w:type="dxa"/>
            <w:vAlign w:val="center"/>
          </w:tcPr>
          <w:p w14:paraId="36EC0233">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参数要求</w:t>
            </w:r>
          </w:p>
        </w:tc>
        <w:tc>
          <w:tcPr>
            <w:tcW w:w="750" w:type="dxa"/>
            <w:vAlign w:val="center"/>
          </w:tcPr>
          <w:p w14:paraId="4417F12E">
            <w:pPr>
              <w:numPr>
                <w:ilvl w:val="0"/>
                <w:numId w:val="0"/>
              </w:numPr>
              <w:spacing w:line="240" w:lineRule="auto"/>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预算单价</w:t>
            </w:r>
          </w:p>
          <w:p w14:paraId="420EFFF3">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（元）</w:t>
            </w:r>
          </w:p>
        </w:tc>
        <w:tc>
          <w:tcPr>
            <w:tcW w:w="827" w:type="dxa"/>
            <w:vAlign w:val="center"/>
          </w:tcPr>
          <w:p w14:paraId="31BF8B92">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数量及单位</w:t>
            </w:r>
          </w:p>
        </w:tc>
        <w:tc>
          <w:tcPr>
            <w:tcW w:w="742" w:type="dxa"/>
            <w:vAlign w:val="center"/>
          </w:tcPr>
          <w:p w14:paraId="0C0F334F">
            <w:pPr>
              <w:numPr>
                <w:ilvl w:val="0"/>
                <w:numId w:val="0"/>
              </w:numPr>
              <w:spacing w:line="240" w:lineRule="auto"/>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预算总价</w:t>
            </w:r>
          </w:p>
          <w:p w14:paraId="1597BD13">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（元）</w:t>
            </w:r>
          </w:p>
        </w:tc>
        <w:tc>
          <w:tcPr>
            <w:tcW w:w="742" w:type="dxa"/>
            <w:vAlign w:val="center"/>
          </w:tcPr>
          <w:p w14:paraId="407DA1B5">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交货期</w:t>
            </w:r>
          </w:p>
        </w:tc>
        <w:tc>
          <w:tcPr>
            <w:tcW w:w="742" w:type="dxa"/>
            <w:vAlign w:val="center"/>
          </w:tcPr>
          <w:p w14:paraId="38E128ED">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质保期</w:t>
            </w:r>
          </w:p>
        </w:tc>
      </w:tr>
      <w:tr w14:paraId="5549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25" w:type="dxa"/>
            <w:vAlign w:val="center"/>
          </w:tcPr>
          <w:p w14:paraId="16FA8FB9">
            <w:pPr>
              <w:numPr>
                <w:ilvl w:val="0"/>
                <w:numId w:val="0"/>
              </w:numPr>
              <w:spacing w:line="240" w:lineRule="auto"/>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1</w:t>
            </w:r>
          </w:p>
        </w:tc>
        <w:tc>
          <w:tcPr>
            <w:tcW w:w="1554" w:type="dxa"/>
            <w:vAlign w:val="center"/>
          </w:tcPr>
          <w:p w14:paraId="41F8A8BE">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default" w:ascii="仿宋" w:hAnsi="仿宋" w:eastAsia="仿宋" w:cs="仿宋"/>
                <w:bCs/>
                <w:color w:val="000000"/>
                <w:sz w:val="20"/>
                <w:szCs w:val="20"/>
                <w:vertAlign w:val="baseline"/>
                <w:lang w:val="en-US" w:eastAsia="zh-CN"/>
              </w:rPr>
              <w:t>uv全彩印制按钮口文件袋</w:t>
            </w:r>
          </w:p>
        </w:tc>
        <w:tc>
          <w:tcPr>
            <w:tcW w:w="4475" w:type="dxa"/>
            <w:vAlign w:val="center"/>
          </w:tcPr>
          <w:p w14:paraId="66DC3349">
            <w:pPr>
              <w:numPr>
                <w:ilvl w:val="0"/>
                <w:numId w:val="7"/>
              </w:numPr>
              <w:spacing w:line="240" w:lineRule="auto"/>
              <w:jc w:val="left"/>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uv全彩印制；</w:t>
            </w:r>
          </w:p>
          <w:p w14:paraId="1C89397D">
            <w:pPr>
              <w:numPr>
                <w:ilvl w:val="0"/>
                <w:numId w:val="7"/>
              </w:numPr>
              <w:spacing w:line="240" w:lineRule="auto"/>
              <w:jc w:val="left"/>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参考尺寸：</w:t>
            </w:r>
            <w:r>
              <w:rPr>
                <w:rFonts w:hint="default" w:ascii="仿宋" w:hAnsi="仿宋" w:eastAsia="仿宋" w:cs="仿宋"/>
                <w:bCs/>
                <w:color w:val="000000"/>
                <w:sz w:val="20"/>
                <w:szCs w:val="20"/>
                <w:vertAlign w:val="baseline"/>
                <w:lang w:val="en-US" w:eastAsia="zh-CN"/>
              </w:rPr>
              <w:t>320x230mm</w:t>
            </w:r>
            <w:r>
              <w:rPr>
                <w:rFonts w:hint="eastAsia" w:ascii="仿宋" w:hAnsi="仿宋" w:eastAsia="仿宋" w:cs="仿宋"/>
                <w:bCs/>
                <w:color w:val="000000"/>
                <w:sz w:val="20"/>
                <w:szCs w:val="20"/>
                <w:vertAlign w:val="baseline"/>
                <w:lang w:val="en-US" w:eastAsia="zh-CN"/>
              </w:rPr>
              <w:t>；</w:t>
            </w:r>
          </w:p>
          <w:p w14:paraId="4339DF3C">
            <w:pPr>
              <w:numPr>
                <w:ilvl w:val="0"/>
                <w:numId w:val="7"/>
              </w:numPr>
              <w:spacing w:line="240" w:lineRule="auto"/>
              <w:jc w:val="left"/>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根据采购人要求进行排版、印刷</w:t>
            </w:r>
          </w:p>
        </w:tc>
        <w:tc>
          <w:tcPr>
            <w:tcW w:w="750" w:type="dxa"/>
            <w:vAlign w:val="center"/>
          </w:tcPr>
          <w:p w14:paraId="121B5129">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0.96</w:t>
            </w:r>
          </w:p>
        </w:tc>
        <w:tc>
          <w:tcPr>
            <w:tcW w:w="827" w:type="dxa"/>
            <w:vAlign w:val="center"/>
          </w:tcPr>
          <w:p w14:paraId="25719C0B">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5000</w:t>
            </w:r>
          </w:p>
        </w:tc>
        <w:tc>
          <w:tcPr>
            <w:tcW w:w="742" w:type="dxa"/>
            <w:vAlign w:val="center"/>
          </w:tcPr>
          <w:p w14:paraId="286DB614">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4800</w:t>
            </w:r>
          </w:p>
        </w:tc>
        <w:tc>
          <w:tcPr>
            <w:tcW w:w="742" w:type="dxa"/>
            <w:vAlign w:val="center"/>
          </w:tcPr>
          <w:p w14:paraId="56D06236">
            <w:pPr>
              <w:numPr>
                <w:ilvl w:val="0"/>
                <w:numId w:val="0"/>
              </w:numPr>
              <w:spacing w:line="240" w:lineRule="auto"/>
              <w:ind w:left="0" w:leftChars="0" w:firstLine="0" w:firstLineChars="0"/>
              <w:jc w:val="center"/>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5天</w:t>
            </w:r>
          </w:p>
        </w:tc>
        <w:tc>
          <w:tcPr>
            <w:tcW w:w="742" w:type="dxa"/>
            <w:vAlign w:val="center"/>
          </w:tcPr>
          <w:p w14:paraId="617D59F9">
            <w:pPr>
              <w:numPr>
                <w:ilvl w:val="0"/>
                <w:numId w:val="0"/>
              </w:numPr>
              <w:spacing w:line="240" w:lineRule="auto"/>
              <w:ind w:left="0" w:leftChars="0" w:firstLine="0" w:firstLineChars="0"/>
              <w:jc w:val="center"/>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1年</w:t>
            </w:r>
          </w:p>
        </w:tc>
      </w:tr>
    </w:tbl>
    <w:p w14:paraId="6C251A8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8"/>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C1D5"/>
    <w:multiLevelType w:val="singleLevel"/>
    <w:tmpl w:val="8122C1D5"/>
    <w:lvl w:ilvl="0" w:tentative="0">
      <w:start w:val="1"/>
      <w:numFmt w:val="decimal"/>
      <w:suff w:val="nothing"/>
      <w:lvlText w:val="%1、"/>
      <w:lvlJc w:val="left"/>
    </w:lvl>
  </w:abstractNum>
  <w:abstractNum w:abstractNumId="1">
    <w:nsid w:val="AF997781"/>
    <w:multiLevelType w:val="singleLevel"/>
    <w:tmpl w:val="AF997781"/>
    <w:lvl w:ilvl="0" w:tentative="0">
      <w:start w:val="1"/>
      <w:numFmt w:val="decimal"/>
      <w:suff w:val="nothing"/>
      <w:lvlText w:val="%1、"/>
      <w:lvlJc w:val="left"/>
    </w:lvl>
  </w:abstractNum>
  <w:abstractNum w:abstractNumId="2">
    <w:nsid w:val="B7DAB06A"/>
    <w:multiLevelType w:val="singleLevel"/>
    <w:tmpl w:val="B7DAB06A"/>
    <w:lvl w:ilvl="0" w:tentative="0">
      <w:start w:val="1"/>
      <w:numFmt w:val="decimal"/>
      <w:suff w:val="nothing"/>
      <w:lvlText w:val="%1、"/>
      <w:lvlJc w:val="left"/>
    </w:lvl>
  </w:abstractNum>
  <w:abstractNum w:abstractNumId="3">
    <w:nsid w:val="DC307BD9"/>
    <w:multiLevelType w:val="singleLevel"/>
    <w:tmpl w:val="DC307BD9"/>
    <w:lvl w:ilvl="0" w:tentative="0">
      <w:start w:val="1"/>
      <w:numFmt w:val="decimal"/>
      <w:suff w:val="nothing"/>
      <w:lvlText w:val="%1、"/>
      <w:lvlJc w:val="left"/>
    </w:lvl>
  </w:abstractNum>
  <w:abstractNum w:abstractNumId="4">
    <w:nsid w:val="E0A351FD"/>
    <w:multiLevelType w:val="singleLevel"/>
    <w:tmpl w:val="E0A351FD"/>
    <w:lvl w:ilvl="0" w:tentative="0">
      <w:start w:val="2"/>
      <w:numFmt w:val="chineseCounting"/>
      <w:suff w:val="space"/>
      <w:lvlText w:val="第%1章"/>
      <w:lvlJc w:val="left"/>
      <w:rPr>
        <w:rFonts w:hint="eastAsia"/>
      </w:rPr>
    </w:lvl>
  </w:abstractNum>
  <w:abstractNum w:abstractNumId="5">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D2DD54D"/>
    <w:multiLevelType w:val="singleLevel"/>
    <w:tmpl w:val="3D2DD54D"/>
    <w:lvl w:ilvl="0" w:tentative="0">
      <w:start w:val="2"/>
      <w:numFmt w:val="decimal"/>
      <w:lvlText w:val="%1."/>
      <w:lvlJc w:val="left"/>
      <w:pPr>
        <w:tabs>
          <w:tab w:val="left" w:pos="312"/>
        </w:tabs>
      </w:pPr>
    </w:lvl>
  </w:abstractNum>
  <w:abstractNum w:abstractNumId="7">
    <w:nsid w:val="7622798B"/>
    <w:multiLevelType w:val="singleLevel"/>
    <w:tmpl w:val="7622798B"/>
    <w:lvl w:ilvl="0" w:tentative="0">
      <w:start w:val="1"/>
      <w:numFmt w:val="decimal"/>
      <w:suff w:val="nothing"/>
      <w:lvlText w:val="%1、"/>
      <w:lvlJc w:val="left"/>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81389B"/>
    <w:rsid w:val="0B845139"/>
    <w:rsid w:val="0BC41F21"/>
    <w:rsid w:val="110C12EC"/>
    <w:rsid w:val="12D55D1E"/>
    <w:rsid w:val="143B2DE1"/>
    <w:rsid w:val="14C76F80"/>
    <w:rsid w:val="15E12F09"/>
    <w:rsid w:val="16455922"/>
    <w:rsid w:val="193E2DCB"/>
    <w:rsid w:val="198F2D53"/>
    <w:rsid w:val="1A66082C"/>
    <w:rsid w:val="1A9A51D3"/>
    <w:rsid w:val="1AA43102"/>
    <w:rsid w:val="1AFD138A"/>
    <w:rsid w:val="1EE838F2"/>
    <w:rsid w:val="1F330EF8"/>
    <w:rsid w:val="1F8E5D51"/>
    <w:rsid w:val="202A5E57"/>
    <w:rsid w:val="213B779A"/>
    <w:rsid w:val="23E72ABF"/>
    <w:rsid w:val="26077CBD"/>
    <w:rsid w:val="26083FB3"/>
    <w:rsid w:val="270B08D2"/>
    <w:rsid w:val="279D1605"/>
    <w:rsid w:val="27EC31F6"/>
    <w:rsid w:val="293E6FB2"/>
    <w:rsid w:val="294E055C"/>
    <w:rsid w:val="296E14AB"/>
    <w:rsid w:val="2AA5318D"/>
    <w:rsid w:val="2AD16DE9"/>
    <w:rsid w:val="2CA31C32"/>
    <w:rsid w:val="2D1F2FAF"/>
    <w:rsid w:val="2D375F5B"/>
    <w:rsid w:val="30565AB3"/>
    <w:rsid w:val="33AA7021"/>
    <w:rsid w:val="342F6407"/>
    <w:rsid w:val="359B6DED"/>
    <w:rsid w:val="35BB5A78"/>
    <w:rsid w:val="387E2B20"/>
    <w:rsid w:val="38D938AF"/>
    <w:rsid w:val="39FC3049"/>
    <w:rsid w:val="3AE076E5"/>
    <w:rsid w:val="3B4E3ED9"/>
    <w:rsid w:val="3C5A27F2"/>
    <w:rsid w:val="3E6158D5"/>
    <w:rsid w:val="417E123A"/>
    <w:rsid w:val="44C77996"/>
    <w:rsid w:val="461D1E37"/>
    <w:rsid w:val="464E369A"/>
    <w:rsid w:val="48AA548E"/>
    <w:rsid w:val="4973433F"/>
    <w:rsid w:val="4AA4190C"/>
    <w:rsid w:val="4D84279B"/>
    <w:rsid w:val="4E056021"/>
    <w:rsid w:val="4F3F325D"/>
    <w:rsid w:val="50760A78"/>
    <w:rsid w:val="52074D56"/>
    <w:rsid w:val="525733F7"/>
    <w:rsid w:val="54316AAD"/>
    <w:rsid w:val="556E3867"/>
    <w:rsid w:val="56B40AC1"/>
    <w:rsid w:val="56F03878"/>
    <w:rsid w:val="57881AD4"/>
    <w:rsid w:val="58BE1257"/>
    <w:rsid w:val="5927777C"/>
    <w:rsid w:val="5B975D90"/>
    <w:rsid w:val="5D3A5B7A"/>
    <w:rsid w:val="5E0906A3"/>
    <w:rsid w:val="5F9A5527"/>
    <w:rsid w:val="61F71336"/>
    <w:rsid w:val="62402164"/>
    <w:rsid w:val="632F44C3"/>
    <w:rsid w:val="64F462FB"/>
    <w:rsid w:val="65915CCD"/>
    <w:rsid w:val="67D02D0E"/>
    <w:rsid w:val="68DD679C"/>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3220</Words>
  <Characters>3566</Characters>
  <Lines>0</Lines>
  <Paragraphs>0</Paragraphs>
  <TotalTime>3</TotalTime>
  <ScaleCrop>false</ScaleCrop>
  <LinksUpToDate>false</LinksUpToDate>
  <CharactersWithSpaces>3794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2025-12-01T02:21:37Z</cp:lastPrinted>
  <dcterms:modified xsi:type="dcterms:W3CDTF">2025-12-01T02:21:40Z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