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盆底修复系统采购项目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60016</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青岛市妇女儿童医院盆底修复系统采购项目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盆底修复系统采购项目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60016</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盆底修复系统采购项目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60016</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56"/>
        <w:gridCol w:w="2588"/>
        <w:gridCol w:w="1450"/>
        <w:gridCol w:w="999"/>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256"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2588"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450" w:type="dxa"/>
            <w:vAlign w:val="center"/>
          </w:tcPr>
          <w:p w14:paraId="22F0E66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w:t>
            </w:r>
          </w:p>
        </w:tc>
        <w:tc>
          <w:tcPr>
            <w:tcW w:w="999"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E7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exact"/>
          <w:jc w:val="center"/>
        </w:trPr>
        <w:tc>
          <w:tcPr>
            <w:tcW w:w="675" w:type="dxa"/>
            <w:vMerge w:val="restart"/>
            <w:vAlign w:val="center"/>
          </w:tcPr>
          <w:p w14:paraId="2FCD74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256" w:type="dxa"/>
            <w:vMerge w:val="restart"/>
            <w:vAlign w:val="center"/>
          </w:tcPr>
          <w:p w14:paraId="6B9022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盆底修复</w:t>
            </w:r>
            <w:r>
              <w:rPr>
                <w:rFonts w:hint="eastAsia" w:ascii="仿宋" w:hAnsi="仿宋" w:eastAsia="仿宋" w:cs="仿宋"/>
                <w:b w:val="0"/>
                <w:bCs/>
                <w:color w:val="auto"/>
                <w:sz w:val="24"/>
                <w:szCs w:val="24"/>
                <w:highlight w:val="none"/>
                <w:vertAlign w:val="baseline"/>
                <w:lang w:val="en-US" w:eastAsia="zh-CN"/>
              </w:rPr>
              <w:t>系统</w:t>
            </w:r>
          </w:p>
        </w:tc>
        <w:tc>
          <w:tcPr>
            <w:tcW w:w="2588" w:type="dxa"/>
            <w:vMerge w:val="restart"/>
            <w:vAlign w:val="center"/>
          </w:tcPr>
          <w:p w14:paraId="61AFD941">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本耗材用于妇科盆底重建手术，结合脱垂情况，使用成形补片或者未成形系统，对盆底组织提供机械支撑并诱导产生新生的支持组织，起到重建盆底功能作用；</w:t>
            </w:r>
          </w:p>
          <w:p w14:paraId="38332D4D">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由网片与器械组成，其中网片由植入补片与连接端组成；器械由不锈钢主体与手柄组成。植入补片由聚丙烯单丝编织而成；</w:t>
            </w:r>
          </w:p>
          <w:p w14:paraId="759A148C">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磋商现场请携带样品。</w:t>
            </w:r>
          </w:p>
        </w:tc>
        <w:tc>
          <w:tcPr>
            <w:tcW w:w="1450" w:type="dxa"/>
            <w:vAlign w:val="center"/>
          </w:tcPr>
          <w:p w14:paraId="254683D0">
            <w:pPr>
              <w:numPr>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550×110</w:t>
            </w:r>
          </w:p>
        </w:tc>
        <w:tc>
          <w:tcPr>
            <w:tcW w:w="999" w:type="dxa"/>
            <w:vAlign w:val="center"/>
          </w:tcPr>
          <w:p w14:paraId="528E76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6842.5</w:t>
            </w:r>
          </w:p>
        </w:tc>
        <w:tc>
          <w:tcPr>
            <w:tcW w:w="933" w:type="dxa"/>
            <w:vAlign w:val="center"/>
          </w:tcPr>
          <w:p w14:paraId="77CE3E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2片</w:t>
            </w:r>
          </w:p>
        </w:tc>
        <w:tc>
          <w:tcPr>
            <w:tcW w:w="900" w:type="dxa"/>
            <w:vMerge w:val="restart"/>
            <w:vAlign w:val="center"/>
          </w:tcPr>
          <w:p w14:paraId="33B901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43210</w:t>
            </w:r>
          </w:p>
        </w:tc>
        <w:tc>
          <w:tcPr>
            <w:tcW w:w="834" w:type="dxa"/>
            <w:vMerge w:val="restart"/>
            <w:vAlign w:val="center"/>
          </w:tcPr>
          <w:p w14:paraId="543757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4年</w:t>
            </w:r>
          </w:p>
        </w:tc>
        <w:tc>
          <w:tcPr>
            <w:tcW w:w="753" w:type="dxa"/>
            <w:vMerge w:val="restart"/>
            <w:vAlign w:val="center"/>
          </w:tcPr>
          <w:p w14:paraId="689DDCB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606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75" w:type="dxa"/>
            <w:vMerge w:val="continue"/>
            <w:vAlign w:val="center"/>
          </w:tcPr>
          <w:p w14:paraId="4D78D3D7">
            <w:pPr>
              <w:spacing w:line="240" w:lineRule="auto"/>
              <w:jc w:val="center"/>
            </w:pPr>
          </w:p>
        </w:tc>
        <w:tc>
          <w:tcPr>
            <w:tcW w:w="1256" w:type="dxa"/>
            <w:vMerge w:val="continue"/>
            <w:vAlign w:val="center"/>
          </w:tcPr>
          <w:p w14:paraId="736CEEF1">
            <w:pPr>
              <w:spacing w:line="240" w:lineRule="auto"/>
              <w:jc w:val="center"/>
            </w:pPr>
          </w:p>
        </w:tc>
        <w:tc>
          <w:tcPr>
            <w:tcW w:w="2588" w:type="dxa"/>
            <w:vMerge w:val="continue"/>
            <w:vAlign w:val="center"/>
          </w:tcPr>
          <w:p w14:paraId="6F7C8273">
            <w:pPr>
              <w:spacing w:line="240" w:lineRule="auto"/>
              <w:jc w:val="center"/>
            </w:pPr>
          </w:p>
        </w:tc>
        <w:tc>
          <w:tcPr>
            <w:tcW w:w="1450" w:type="dxa"/>
            <w:vAlign w:val="center"/>
          </w:tcPr>
          <w:p w14:paraId="20367EB9">
            <w:pPr>
              <w:spacing w:line="240" w:lineRule="auto"/>
              <w:jc w:val="center"/>
            </w:pPr>
            <w:r>
              <w:rPr>
                <w:rFonts w:hint="eastAsia" w:ascii="仿宋" w:hAnsi="仿宋" w:eastAsia="仿宋" w:cs="仿宋"/>
                <w:b w:val="0"/>
                <w:bCs/>
                <w:color w:val="auto"/>
                <w:sz w:val="24"/>
                <w:szCs w:val="24"/>
                <w:highlight w:val="none"/>
                <w:vertAlign w:val="baseline"/>
                <w:lang w:val="en-US" w:eastAsia="zh-CN"/>
              </w:rPr>
              <w:t>280×140</w:t>
            </w:r>
          </w:p>
        </w:tc>
        <w:tc>
          <w:tcPr>
            <w:tcW w:w="999" w:type="dxa"/>
            <w:vAlign w:val="center"/>
          </w:tcPr>
          <w:p w14:paraId="3E5F635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6842.5</w:t>
            </w:r>
          </w:p>
        </w:tc>
        <w:tc>
          <w:tcPr>
            <w:tcW w:w="933" w:type="dxa"/>
            <w:vAlign w:val="center"/>
          </w:tcPr>
          <w:p w14:paraId="026BA8FD">
            <w:p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2片</w:t>
            </w:r>
          </w:p>
        </w:tc>
        <w:tc>
          <w:tcPr>
            <w:tcW w:w="900" w:type="dxa"/>
            <w:vMerge w:val="continue"/>
            <w:vAlign w:val="center"/>
          </w:tcPr>
          <w:p w14:paraId="3FB8A929">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834" w:type="dxa"/>
            <w:vMerge w:val="continue"/>
            <w:vAlign w:val="center"/>
          </w:tcPr>
          <w:p w14:paraId="2311E673">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753" w:type="dxa"/>
            <w:vMerge w:val="continue"/>
            <w:vAlign w:val="center"/>
          </w:tcPr>
          <w:p w14:paraId="0446DF30">
            <w:pPr>
              <w:spacing w:line="240" w:lineRule="auto"/>
              <w:jc w:val="center"/>
              <w:rPr>
                <w:rFonts w:hint="eastAsia" w:ascii="仿宋" w:hAnsi="仿宋" w:eastAsia="仿宋" w:cs="仿宋"/>
                <w:b w:val="0"/>
                <w:bCs/>
                <w:color w:val="auto"/>
                <w:sz w:val="24"/>
                <w:szCs w:val="24"/>
                <w:highlight w:val="none"/>
                <w:vertAlign w:val="baseline"/>
                <w:lang w:val="en-US" w:eastAsia="zh-CN"/>
              </w:rPr>
            </w:pPr>
          </w:p>
        </w:tc>
      </w:tr>
      <w:tr w14:paraId="37F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75" w:type="dxa"/>
            <w:vMerge w:val="continue"/>
            <w:vAlign w:val="center"/>
          </w:tcPr>
          <w:p w14:paraId="41D8C6A0">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1256" w:type="dxa"/>
            <w:vMerge w:val="continue"/>
            <w:vAlign w:val="center"/>
          </w:tcPr>
          <w:p w14:paraId="7595FEF5">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2588" w:type="dxa"/>
            <w:vMerge w:val="continue"/>
            <w:vAlign w:val="center"/>
          </w:tcPr>
          <w:p w14:paraId="41324374">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1450" w:type="dxa"/>
            <w:vAlign w:val="center"/>
          </w:tcPr>
          <w:p w14:paraId="345C6C71">
            <w:p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210×160</w:t>
            </w:r>
          </w:p>
        </w:tc>
        <w:tc>
          <w:tcPr>
            <w:tcW w:w="999" w:type="dxa"/>
            <w:vAlign w:val="center"/>
          </w:tcPr>
          <w:p w14:paraId="46599E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4020</w:t>
            </w:r>
          </w:p>
        </w:tc>
        <w:tc>
          <w:tcPr>
            <w:tcW w:w="933" w:type="dxa"/>
            <w:vAlign w:val="center"/>
          </w:tcPr>
          <w:p w14:paraId="73731BCE">
            <w:p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2片</w:t>
            </w:r>
          </w:p>
        </w:tc>
        <w:tc>
          <w:tcPr>
            <w:tcW w:w="900" w:type="dxa"/>
            <w:vMerge w:val="continue"/>
            <w:vAlign w:val="center"/>
          </w:tcPr>
          <w:p w14:paraId="578C1078">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834" w:type="dxa"/>
            <w:vMerge w:val="continue"/>
            <w:vAlign w:val="center"/>
          </w:tcPr>
          <w:p w14:paraId="472DFA59">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753" w:type="dxa"/>
            <w:vMerge w:val="continue"/>
            <w:vAlign w:val="center"/>
          </w:tcPr>
          <w:p w14:paraId="3B84D166">
            <w:pPr>
              <w:spacing w:line="240" w:lineRule="auto"/>
              <w:jc w:val="center"/>
              <w:rPr>
                <w:rFonts w:hint="eastAsia" w:ascii="仿宋" w:hAnsi="仿宋" w:eastAsia="仿宋" w:cs="仿宋"/>
                <w:b w:val="0"/>
                <w:bCs/>
                <w:color w:val="auto"/>
                <w:sz w:val="24"/>
                <w:szCs w:val="24"/>
                <w:highlight w:val="none"/>
                <w:vertAlign w:val="baseline"/>
                <w:lang w:val="en-US" w:eastAsia="zh-CN"/>
              </w:rPr>
            </w:pPr>
          </w:p>
        </w:tc>
      </w:tr>
      <w:tr w14:paraId="5D8E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exact"/>
          <w:jc w:val="center"/>
        </w:trPr>
        <w:tc>
          <w:tcPr>
            <w:tcW w:w="675" w:type="dxa"/>
            <w:vMerge w:val="continue"/>
            <w:vAlign w:val="center"/>
          </w:tcPr>
          <w:p w14:paraId="1ADC084F">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1256" w:type="dxa"/>
            <w:vMerge w:val="continue"/>
            <w:vAlign w:val="center"/>
          </w:tcPr>
          <w:p w14:paraId="12B3048F">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2588" w:type="dxa"/>
            <w:vMerge w:val="continue"/>
            <w:vAlign w:val="center"/>
          </w:tcPr>
          <w:p w14:paraId="1492EBAB">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1450" w:type="dxa"/>
            <w:vAlign w:val="center"/>
          </w:tcPr>
          <w:p w14:paraId="0F0ED3EC">
            <w:p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180×150</w:t>
            </w:r>
          </w:p>
        </w:tc>
        <w:tc>
          <w:tcPr>
            <w:tcW w:w="999" w:type="dxa"/>
            <w:vAlign w:val="center"/>
          </w:tcPr>
          <w:p w14:paraId="6C7E86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3900</w:t>
            </w:r>
          </w:p>
        </w:tc>
        <w:tc>
          <w:tcPr>
            <w:tcW w:w="933" w:type="dxa"/>
            <w:vAlign w:val="center"/>
          </w:tcPr>
          <w:p w14:paraId="0EAF1B35">
            <w:p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2片</w:t>
            </w:r>
          </w:p>
        </w:tc>
        <w:tc>
          <w:tcPr>
            <w:tcW w:w="900" w:type="dxa"/>
            <w:vMerge w:val="continue"/>
            <w:vAlign w:val="center"/>
          </w:tcPr>
          <w:p w14:paraId="7A2DF713">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834" w:type="dxa"/>
            <w:vMerge w:val="continue"/>
            <w:vAlign w:val="center"/>
          </w:tcPr>
          <w:p w14:paraId="77A7A1E8">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753" w:type="dxa"/>
            <w:vMerge w:val="continue"/>
            <w:vAlign w:val="center"/>
          </w:tcPr>
          <w:p w14:paraId="6EE1AC0A">
            <w:pPr>
              <w:spacing w:line="240" w:lineRule="auto"/>
              <w:jc w:val="center"/>
              <w:rPr>
                <w:rFonts w:hint="eastAsia" w:ascii="仿宋" w:hAnsi="仿宋" w:eastAsia="仿宋" w:cs="仿宋"/>
                <w:b w:val="0"/>
                <w:bCs/>
                <w:color w:val="auto"/>
                <w:sz w:val="24"/>
                <w:szCs w:val="24"/>
                <w:highlight w:val="none"/>
                <w:vertAlign w:val="baseline"/>
                <w:lang w:val="en-US" w:eastAsia="zh-CN"/>
              </w:rPr>
            </w:pPr>
          </w:p>
        </w:tc>
      </w:tr>
    </w:tbl>
    <w:p w14:paraId="0A83EEE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4C4A2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DD35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24FA49B4"/>
    <w:multiLevelType w:val="singleLevel"/>
    <w:tmpl w:val="24FA49B4"/>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F300E2"/>
    <w:rsid w:val="08E053FD"/>
    <w:rsid w:val="0B3C188E"/>
    <w:rsid w:val="0B603E17"/>
    <w:rsid w:val="0BC41F21"/>
    <w:rsid w:val="110C12EC"/>
    <w:rsid w:val="12040D82"/>
    <w:rsid w:val="124D331C"/>
    <w:rsid w:val="12883575"/>
    <w:rsid w:val="12D55D1E"/>
    <w:rsid w:val="14C76F80"/>
    <w:rsid w:val="15E12F09"/>
    <w:rsid w:val="18AB315F"/>
    <w:rsid w:val="193E2DCB"/>
    <w:rsid w:val="198F2D53"/>
    <w:rsid w:val="1A66082C"/>
    <w:rsid w:val="1A9A51D3"/>
    <w:rsid w:val="1AFD138A"/>
    <w:rsid w:val="1B6C7A0E"/>
    <w:rsid w:val="1EE838F2"/>
    <w:rsid w:val="23E72ABF"/>
    <w:rsid w:val="26083FB3"/>
    <w:rsid w:val="270B08D2"/>
    <w:rsid w:val="279D1605"/>
    <w:rsid w:val="27D857A9"/>
    <w:rsid w:val="28545C89"/>
    <w:rsid w:val="294E055C"/>
    <w:rsid w:val="296E14AB"/>
    <w:rsid w:val="29952251"/>
    <w:rsid w:val="2AD16DE9"/>
    <w:rsid w:val="2C4209CD"/>
    <w:rsid w:val="2CA31C32"/>
    <w:rsid w:val="2D375F5B"/>
    <w:rsid w:val="2E400F3C"/>
    <w:rsid w:val="30180DC7"/>
    <w:rsid w:val="30D2722F"/>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BAB1B9D"/>
    <w:rsid w:val="5C394634"/>
    <w:rsid w:val="5D7C4D2D"/>
    <w:rsid w:val="5E544260"/>
    <w:rsid w:val="5F9A5527"/>
    <w:rsid w:val="5FEF5132"/>
    <w:rsid w:val="60436A52"/>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4071</Words>
  <Characters>4371</Characters>
  <Lines>0</Lines>
  <Paragraphs>0</Paragraphs>
  <TotalTime>40</TotalTime>
  <ScaleCrop>false</ScaleCrop>
  <LinksUpToDate>false</LinksUpToDate>
  <CharactersWithSpaces>4819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2026-02-02T03:45:39Z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