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5DA65244">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报废处置资产回收服务采购项目</w:t>
      </w:r>
    </w:p>
    <w:p w14:paraId="4510C616">
      <w:pPr>
        <w:jc w:val="center"/>
        <w:rPr>
          <w:rFonts w:hint="eastAsia" w:ascii="黑体" w:eastAsia="黑体"/>
          <w:b/>
          <w:color w:val="auto"/>
          <w:sz w:val="52"/>
          <w:szCs w:val="52"/>
          <w:highlight w:val="none"/>
          <w:vertAlign w:val="baseline"/>
          <w:lang w:val="en-US" w:eastAsia="zh-CN"/>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60036</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青岛市妇女儿童医院报废处置资产回收服务采购项目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sz w:val="24"/>
          <w:szCs w:val="24"/>
          <w:highlight w:val="none"/>
          <w:u w:val="none"/>
          <w:vertAlign w:val="baseline"/>
          <w:lang w:val="en-US" w:eastAsia="zh-CN"/>
        </w:rPr>
        <w:t>报废处置资产回收服务采购项目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60036</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5028056C">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青岛市妇女儿童医院报废处置资产回收服务采购项目</w:t>
      </w:r>
    </w:p>
    <w:p w14:paraId="0ED5B16B">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60036</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30ACC71B">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bookmarkStart w:id="5" w:name="_Toc11005"/>
      <w:bookmarkStart w:id="6" w:name="_Toc22109"/>
      <w:r>
        <w:rPr>
          <w:rFonts w:hint="eastAsia" w:ascii="仿宋" w:hAnsi="仿宋" w:eastAsia="仿宋" w:cs="仿宋"/>
          <w:b/>
          <w:bCs w:val="0"/>
          <w:color w:val="auto"/>
          <w:sz w:val="24"/>
          <w:szCs w:val="24"/>
          <w:highlight w:val="none"/>
          <w:vertAlign w:val="baseline"/>
          <w:lang w:val="en-US" w:eastAsia="zh-CN"/>
        </w:rPr>
        <w:t>3.1 政策依据</w:t>
      </w:r>
    </w:p>
    <w:p w14:paraId="4422EEB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3.1.1 《关于印发青岛市卫生健康委员会国有资产处置管理办法的通知</w:t>
      </w:r>
      <w:bookmarkStart w:id="7" w:name="OLE_LINK3"/>
      <w:r>
        <w:rPr>
          <w:rFonts w:hint="eastAsia" w:ascii="仿宋" w:hAnsi="仿宋" w:eastAsia="仿宋" w:cs="仿宋"/>
          <w:bCs/>
          <w:color w:val="auto"/>
          <w:sz w:val="24"/>
          <w:szCs w:val="24"/>
          <w:highlight w:val="none"/>
          <w:vertAlign w:val="baseline"/>
          <w:lang w:val="en-US" w:eastAsia="zh-CN"/>
        </w:rPr>
        <w:t>》</w:t>
      </w:r>
      <w:bookmarkEnd w:id="7"/>
      <w:r>
        <w:rPr>
          <w:rFonts w:hint="eastAsia" w:ascii="仿宋" w:hAnsi="仿宋" w:eastAsia="仿宋" w:cs="仿宋"/>
          <w:bCs/>
          <w:color w:val="auto"/>
          <w:sz w:val="24"/>
          <w:szCs w:val="24"/>
          <w:highlight w:val="none"/>
          <w:vertAlign w:val="baseline"/>
          <w:lang w:val="en-US" w:eastAsia="zh-CN"/>
        </w:rPr>
        <w:t>（青卫财审字〔2023〕27号）</w:t>
      </w:r>
    </w:p>
    <w:p w14:paraId="6B2352A9">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3.1.2 《关于公布青岛市公共机构废旧商品回收定点企业名单的通知》（青机服发〔2024〕7号）</w:t>
      </w:r>
    </w:p>
    <w:p w14:paraId="2242FBA0">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3.1.3 所涉及业务领域的规章制度、管理办法等。</w:t>
      </w:r>
    </w:p>
    <w:p w14:paraId="2832A5C3">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3.2 具体要求</w:t>
      </w:r>
    </w:p>
    <w:p w14:paraId="4BB4DFB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3.2.1 回收公司要求：根据青卫财审字〔2023〕27号文件要求，报废的房屋、车辆、大型专用设备（单价原值在200 万元及以上）及原值较大的通用设备（单价原值在10万元及以上），优先选取给予回收价格高的回收机构进行处置，并按规定回收（进行拆解等），严禁报废资产二次流入市场。</w:t>
      </w:r>
    </w:p>
    <w:p w14:paraId="7CF45468">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3.2.2 回收机构须出具</w:t>
      </w:r>
      <w:r>
        <w:rPr>
          <w:rFonts w:hint="eastAsia" w:ascii="仿宋" w:hAnsi="仿宋" w:eastAsia="仿宋" w:cs="仿宋"/>
          <w:b/>
          <w:bCs w:val="0"/>
          <w:color w:val="auto"/>
          <w:sz w:val="24"/>
          <w:szCs w:val="24"/>
          <w:highlight w:val="none"/>
          <w:vertAlign w:val="baseline"/>
          <w:lang w:val="en-US" w:eastAsia="zh-CN"/>
        </w:rPr>
        <w:t>书面承诺</w:t>
      </w:r>
      <w:r>
        <w:rPr>
          <w:rFonts w:hint="eastAsia" w:ascii="仿宋" w:hAnsi="仿宋" w:eastAsia="仿宋" w:cs="仿宋"/>
          <w:bCs/>
          <w:color w:val="auto"/>
          <w:sz w:val="24"/>
          <w:szCs w:val="24"/>
          <w:highlight w:val="none"/>
          <w:vertAlign w:val="baseline"/>
          <w:lang w:val="en-US" w:eastAsia="zh-CN"/>
        </w:rPr>
        <w:t>，确保所有回收的报废资产及其可独立使用的核心部件，绝不进行翻新、转卖或以其原有功能形式再次进入流通市场，须按国家环保规定进行拆解及资源化/无害化处置。回收当天现场拆解相关设备并拍照留档，并现场填写市机关事务服务中心、市商务局、市财政局统一制定的《青岛市公共机构废旧商品统一回收单据》五联单。</w:t>
      </w:r>
    </w:p>
    <w:p w14:paraId="7B2B64D8">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3.2.3 收款方式：合同签订完成后，7个工作日内乙方向甲方指定账户一次性付清约定款项。</w:t>
      </w:r>
    </w:p>
    <w:p w14:paraId="77635350">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3.2.4 其他：</w:t>
      </w:r>
      <w:r>
        <w:rPr>
          <w:rFonts w:hint="eastAsia" w:ascii="仿宋" w:hAnsi="仿宋" w:eastAsia="仿宋" w:cs="仿宋"/>
          <w:b/>
          <w:bCs w:val="0"/>
          <w:color w:val="auto"/>
          <w:sz w:val="24"/>
          <w:szCs w:val="24"/>
          <w:highlight w:val="none"/>
          <w:vertAlign w:val="baseline"/>
          <w:lang w:val="en-US" w:eastAsia="zh-CN"/>
        </w:rPr>
        <w:t>回收公司应具备合法合规资质（提供完整的证明材料）</w:t>
      </w:r>
      <w:r>
        <w:rPr>
          <w:rFonts w:hint="eastAsia" w:ascii="仿宋" w:hAnsi="仿宋" w:eastAsia="仿宋" w:cs="仿宋"/>
          <w:bCs/>
          <w:color w:val="auto"/>
          <w:sz w:val="24"/>
          <w:szCs w:val="24"/>
          <w:highlight w:val="none"/>
          <w:vertAlign w:val="baseline"/>
          <w:lang w:val="en-US" w:eastAsia="zh-CN"/>
        </w:rPr>
        <w:t>，具备专业作业团队、运输车辆及符合环保、安全要求的作业流程。能根据通知，快速响应并完成现场勘查、资产搬运、合规处置等全流程服务。</w:t>
      </w:r>
    </w:p>
    <w:p w14:paraId="5EB6E581">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3.3 报废资产明细</w:t>
      </w:r>
    </w:p>
    <w:tbl>
      <w:tblPr>
        <w:tblW w:w="7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99"/>
        <w:gridCol w:w="2850"/>
        <w:gridCol w:w="1688"/>
        <w:gridCol w:w="855"/>
        <w:gridCol w:w="1788"/>
      </w:tblGrid>
      <w:tr w14:paraId="554F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jc w:val="center"/>
        </w:trPr>
        <w:tc>
          <w:tcPr>
            <w:tcW w:w="799" w:type="dxa"/>
            <w:tcBorders>
              <w:top w:val="single" w:color="000000" w:sz="4" w:space="0"/>
              <w:left w:val="single" w:color="000000" w:sz="4" w:space="0"/>
              <w:bottom w:val="single" w:color="000000" w:sz="4" w:space="0"/>
              <w:right w:val="single" w:color="000000" w:sz="4" w:space="0"/>
            </w:tcBorders>
            <w:shd w:val="clear"/>
            <w:noWrap/>
            <w:vAlign w:val="center"/>
          </w:tcPr>
          <w:p w14:paraId="2B6667DC">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vertAlign w:val="baseline"/>
              </w:rPr>
            </w:pPr>
            <w:r>
              <w:rPr>
                <w:rFonts w:hint="eastAsia" w:ascii="仿宋" w:hAnsi="仿宋" w:eastAsia="仿宋" w:cs="仿宋"/>
                <w:b/>
                <w:bCs/>
                <w:i w:val="0"/>
                <w:iCs w:val="0"/>
                <w:color w:val="000000"/>
                <w:kern w:val="0"/>
                <w:sz w:val="22"/>
                <w:szCs w:val="22"/>
                <w:u w:val="none"/>
                <w:bdr w:val="none" w:color="auto" w:sz="0" w:space="0"/>
                <w:vertAlign w:val="baseline"/>
                <w:lang w:val="en-US" w:eastAsia="zh-CN" w:bidi="ar"/>
              </w:rPr>
              <w:t>序号</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14:paraId="320F7C2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vertAlign w:val="baseline"/>
              </w:rPr>
            </w:pPr>
            <w:r>
              <w:rPr>
                <w:rFonts w:hint="eastAsia" w:ascii="仿宋" w:hAnsi="仿宋" w:eastAsia="仿宋" w:cs="仿宋"/>
                <w:b/>
                <w:bCs/>
                <w:i w:val="0"/>
                <w:iCs w:val="0"/>
                <w:color w:val="000000"/>
                <w:kern w:val="0"/>
                <w:sz w:val="22"/>
                <w:szCs w:val="22"/>
                <w:u w:val="none"/>
                <w:bdr w:val="none" w:color="auto" w:sz="0" w:space="0"/>
                <w:vertAlign w:val="baseline"/>
                <w:lang w:val="en-US" w:eastAsia="zh-CN" w:bidi="ar"/>
              </w:rPr>
              <w:t>资产名称</w:t>
            </w:r>
          </w:p>
        </w:tc>
        <w:tc>
          <w:tcPr>
            <w:tcW w:w="1688" w:type="dxa"/>
            <w:tcBorders>
              <w:top w:val="single" w:color="000000" w:sz="4" w:space="0"/>
              <w:left w:val="single" w:color="000000" w:sz="4" w:space="0"/>
              <w:bottom w:val="single" w:color="000000" w:sz="4" w:space="0"/>
              <w:right w:val="single" w:color="000000" w:sz="4" w:space="0"/>
            </w:tcBorders>
            <w:shd w:val="clear"/>
            <w:vAlign w:val="center"/>
          </w:tcPr>
          <w:p w14:paraId="044E4BB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vertAlign w:val="baseline"/>
              </w:rPr>
            </w:pPr>
            <w:r>
              <w:rPr>
                <w:rFonts w:hint="eastAsia" w:ascii="仿宋" w:hAnsi="仿宋" w:eastAsia="仿宋" w:cs="仿宋"/>
                <w:b/>
                <w:bCs/>
                <w:i w:val="0"/>
                <w:iCs w:val="0"/>
                <w:color w:val="000000"/>
                <w:kern w:val="0"/>
                <w:sz w:val="22"/>
                <w:szCs w:val="22"/>
                <w:u w:val="none"/>
                <w:bdr w:val="none" w:color="auto" w:sz="0" w:space="0"/>
                <w:vertAlign w:val="baseline"/>
                <w:lang w:val="en-US" w:eastAsia="zh-CN" w:bidi="ar"/>
              </w:rPr>
              <w:t>开始使用年份</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50757B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vertAlign w:val="baseline"/>
              </w:rPr>
            </w:pPr>
            <w:r>
              <w:rPr>
                <w:rFonts w:hint="eastAsia" w:ascii="仿宋" w:hAnsi="仿宋" w:eastAsia="仿宋" w:cs="仿宋"/>
                <w:b/>
                <w:bCs/>
                <w:i w:val="0"/>
                <w:iCs w:val="0"/>
                <w:color w:val="000000"/>
                <w:kern w:val="0"/>
                <w:sz w:val="22"/>
                <w:szCs w:val="22"/>
                <w:u w:val="none"/>
                <w:bdr w:val="none" w:color="auto" w:sz="0" w:space="0"/>
                <w:vertAlign w:val="baseline"/>
                <w:lang w:val="en-US" w:eastAsia="zh-CN" w:bidi="ar"/>
              </w:rPr>
              <w:t>数量</w:t>
            </w:r>
          </w:p>
        </w:tc>
        <w:tc>
          <w:tcPr>
            <w:tcW w:w="1788" w:type="dxa"/>
            <w:tcBorders>
              <w:top w:val="single" w:color="000000" w:sz="4" w:space="0"/>
              <w:left w:val="single" w:color="000000" w:sz="4" w:space="0"/>
              <w:bottom w:val="single" w:color="000000" w:sz="4" w:space="0"/>
              <w:right w:val="single" w:color="000000" w:sz="4" w:space="0"/>
            </w:tcBorders>
            <w:shd w:val="clear"/>
            <w:vAlign w:val="center"/>
          </w:tcPr>
          <w:p w14:paraId="7FC22ED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vertAlign w:val="baseline"/>
              </w:rPr>
            </w:pPr>
            <w:r>
              <w:rPr>
                <w:rFonts w:hint="eastAsia" w:ascii="仿宋" w:hAnsi="仿宋" w:eastAsia="仿宋" w:cs="仿宋"/>
                <w:b/>
                <w:bCs/>
                <w:i w:val="0"/>
                <w:iCs w:val="0"/>
                <w:color w:val="000000"/>
                <w:kern w:val="0"/>
                <w:sz w:val="22"/>
                <w:szCs w:val="22"/>
                <w:u w:val="none"/>
                <w:bdr w:val="none" w:color="auto" w:sz="0" w:space="0"/>
                <w:vertAlign w:val="baseline"/>
                <w:lang w:val="en-US" w:eastAsia="zh-CN" w:bidi="ar"/>
              </w:rPr>
              <w:t>原值（万元）</w:t>
            </w:r>
          </w:p>
        </w:tc>
      </w:tr>
      <w:tr w14:paraId="1489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noWrap/>
            <w:vAlign w:val="center"/>
          </w:tcPr>
          <w:p w14:paraId="60869BFD">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vertAlign w:val="baseline"/>
              </w:rPr>
            </w:pPr>
            <w:r>
              <w:rPr>
                <w:rFonts w:hint="eastAsia" w:ascii="仿宋" w:hAnsi="仿宋" w:eastAsia="仿宋" w:cs="仿宋"/>
                <w:b/>
                <w:bCs/>
                <w:i w:val="0"/>
                <w:iCs w:val="0"/>
                <w:color w:val="000000"/>
                <w:kern w:val="0"/>
                <w:sz w:val="22"/>
                <w:szCs w:val="22"/>
                <w:u w:val="none"/>
                <w:bdr w:val="none" w:color="auto" w:sz="0" w:space="0"/>
                <w:vertAlign w:val="baseline"/>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451460A8">
            <w:pPr>
              <w:keepNext w:val="0"/>
              <w:keepLines w:val="0"/>
              <w:widowControl/>
              <w:suppressLineNumbers w:val="0"/>
              <w:jc w:val="center"/>
              <w:textAlignment w:val="bottom"/>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彩色多普勒超声诊断仪</w:t>
            </w:r>
          </w:p>
        </w:tc>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1E368A10">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2012年</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2C63C08D">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noWrap/>
            <w:vAlign w:val="center"/>
          </w:tcPr>
          <w:p w14:paraId="18C03120">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209.00</w:t>
            </w:r>
          </w:p>
        </w:tc>
      </w:tr>
      <w:tr w14:paraId="24A7F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noWrap/>
            <w:vAlign w:val="center"/>
          </w:tcPr>
          <w:p w14:paraId="2F4B3DFE">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vertAlign w:val="baseline"/>
              </w:rPr>
            </w:pPr>
            <w:r>
              <w:rPr>
                <w:rFonts w:hint="eastAsia" w:ascii="仿宋" w:hAnsi="仿宋" w:eastAsia="仿宋" w:cs="仿宋"/>
                <w:b/>
                <w:bCs/>
                <w:i w:val="0"/>
                <w:iCs w:val="0"/>
                <w:color w:val="000000"/>
                <w:kern w:val="0"/>
                <w:sz w:val="22"/>
                <w:szCs w:val="22"/>
                <w:u w:val="none"/>
                <w:bdr w:val="none" w:color="auto" w:sz="0" w:space="0"/>
                <w:vertAlign w:val="baseline"/>
                <w:lang w:val="en-US" w:eastAsia="zh-CN" w:bidi="ar"/>
              </w:rPr>
              <w:t>2</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15E0B248">
            <w:pPr>
              <w:keepNext w:val="0"/>
              <w:keepLines w:val="0"/>
              <w:widowControl/>
              <w:suppressLineNumbers w:val="0"/>
              <w:jc w:val="center"/>
              <w:textAlignment w:val="bottom"/>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彩色多普勒超声诊断仪</w:t>
            </w:r>
          </w:p>
        </w:tc>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463775FE">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2011年</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5A3F0CEB">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noWrap/>
            <w:vAlign w:val="center"/>
          </w:tcPr>
          <w:p w14:paraId="742981FF">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240.00</w:t>
            </w:r>
          </w:p>
        </w:tc>
      </w:tr>
      <w:tr w14:paraId="55C3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noWrap/>
            <w:vAlign w:val="center"/>
          </w:tcPr>
          <w:p w14:paraId="5D2D202F">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vertAlign w:val="baseline"/>
              </w:rPr>
            </w:pPr>
            <w:r>
              <w:rPr>
                <w:rFonts w:hint="eastAsia" w:ascii="仿宋" w:hAnsi="仿宋" w:eastAsia="仿宋" w:cs="仿宋"/>
                <w:b/>
                <w:bCs/>
                <w:i w:val="0"/>
                <w:iCs w:val="0"/>
                <w:color w:val="000000"/>
                <w:kern w:val="0"/>
                <w:sz w:val="22"/>
                <w:szCs w:val="22"/>
                <w:u w:val="none"/>
                <w:bdr w:val="none" w:color="auto" w:sz="0" w:space="0"/>
                <w:vertAlign w:val="baseline"/>
                <w:lang w:val="en-US" w:eastAsia="zh-CN" w:bidi="ar"/>
              </w:rPr>
              <w:t>3</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6E0BA3B4">
            <w:pPr>
              <w:keepNext w:val="0"/>
              <w:keepLines w:val="0"/>
              <w:widowControl/>
              <w:suppressLineNumbers w:val="0"/>
              <w:jc w:val="center"/>
              <w:textAlignment w:val="bottom"/>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彩色多普勒超声诊断仪</w:t>
            </w:r>
          </w:p>
        </w:tc>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78216624">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2011年</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57070005">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noWrap/>
            <w:vAlign w:val="center"/>
          </w:tcPr>
          <w:p w14:paraId="64DBED65">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240.00</w:t>
            </w:r>
          </w:p>
        </w:tc>
      </w:tr>
      <w:tr w14:paraId="6CAF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noWrap/>
            <w:vAlign w:val="center"/>
          </w:tcPr>
          <w:p w14:paraId="7F31369E">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vertAlign w:val="baseline"/>
              </w:rPr>
            </w:pPr>
            <w:r>
              <w:rPr>
                <w:rFonts w:hint="eastAsia" w:ascii="仿宋" w:hAnsi="仿宋" w:eastAsia="仿宋" w:cs="仿宋"/>
                <w:b/>
                <w:bCs/>
                <w:i w:val="0"/>
                <w:iCs w:val="0"/>
                <w:color w:val="000000"/>
                <w:kern w:val="0"/>
                <w:sz w:val="22"/>
                <w:szCs w:val="22"/>
                <w:u w:val="none"/>
                <w:bdr w:val="none" w:color="auto" w:sz="0" w:space="0"/>
                <w:vertAlign w:val="baseline"/>
                <w:lang w:val="en-US" w:eastAsia="zh-CN" w:bidi="ar"/>
              </w:rPr>
              <w:t>4</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7FB63C7E">
            <w:pPr>
              <w:keepNext w:val="0"/>
              <w:keepLines w:val="0"/>
              <w:widowControl/>
              <w:suppressLineNumbers w:val="0"/>
              <w:jc w:val="center"/>
              <w:textAlignment w:val="bottom"/>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彩色多普勒超声诊断仪</w:t>
            </w:r>
          </w:p>
        </w:tc>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378D7A08">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2015年</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78AD5628">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noWrap/>
            <w:vAlign w:val="center"/>
          </w:tcPr>
          <w:p w14:paraId="1D7F354A">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210.00</w:t>
            </w:r>
          </w:p>
        </w:tc>
      </w:tr>
      <w:tr w14:paraId="31D0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noWrap/>
            <w:vAlign w:val="center"/>
          </w:tcPr>
          <w:p w14:paraId="4C2BBCBF">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vertAlign w:val="baseline"/>
              </w:rPr>
            </w:pPr>
            <w:r>
              <w:rPr>
                <w:rFonts w:hint="eastAsia" w:ascii="仿宋" w:hAnsi="仿宋" w:eastAsia="仿宋" w:cs="仿宋"/>
                <w:b/>
                <w:bCs/>
                <w:i w:val="0"/>
                <w:iCs w:val="0"/>
                <w:color w:val="000000"/>
                <w:kern w:val="0"/>
                <w:sz w:val="22"/>
                <w:szCs w:val="22"/>
                <w:u w:val="none"/>
                <w:bdr w:val="none" w:color="auto" w:sz="0" w:space="0"/>
                <w:vertAlign w:val="baseline"/>
                <w:lang w:val="en-US" w:eastAsia="zh-CN" w:bidi="ar"/>
              </w:rPr>
              <w:t>5</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23F04614">
            <w:pPr>
              <w:keepNext w:val="0"/>
              <w:keepLines w:val="0"/>
              <w:widowControl/>
              <w:suppressLineNumbers w:val="0"/>
              <w:jc w:val="center"/>
              <w:textAlignment w:val="bottom"/>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监控前段摄像机</w:t>
            </w:r>
          </w:p>
        </w:tc>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4BDCD4FC">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2017年</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3E20260E">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noWrap/>
            <w:vAlign w:val="center"/>
          </w:tcPr>
          <w:p w14:paraId="0C78DB7C">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25.00</w:t>
            </w:r>
          </w:p>
        </w:tc>
      </w:tr>
      <w:tr w14:paraId="0334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noWrap/>
            <w:vAlign w:val="center"/>
          </w:tcPr>
          <w:p w14:paraId="407B56D1">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vertAlign w:val="baseline"/>
              </w:rPr>
            </w:pPr>
            <w:r>
              <w:rPr>
                <w:rFonts w:hint="eastAsia" w:ascii="仿宋" w:hAnsi="仿宋" w:eastAsia="仿宋" w:cs="仿宋"/>
                <w:b/>
                <w:bCs/>
                <w:i w:val="0"/>
                <w:iCs w:val="0"/>
                <w:color w:val="000000"/>
                <w:kern w:val="0"/>
                <w:sz w:val="22"/>
                <w:szCs w:val="22"/>
                <w:u w:val="none"/>
                <w:bdr w:val="none" w:color="auto" w:sz="0" w:space="0"/>
                <w:vertAlign w:val="baseline"/>
                <w:lang w:val="en-US" w:eastAsia="zh-CN" w:bidi="ar"/>
              </w:rPr>
              <w:t>6</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4ED037C0">
            <w:pPr>
              <w:keepNext w:val="0"/>
              <w:keepLines w:val="0"/>
              <w:widowControl/>
              <w:suppressLineNumbers w:val="0"/>
              <w:jc w:val="center"/>
              <w:textAlignment w:val="bottom"/>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监控中心管理设备</w:t>
            </w:r>
          </w:p>
        </w:tc>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04A395C8">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2017年</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7063D665">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noWrap/>
            <w:vAlign w:val="center"/>
          </w:tcPr>
          <w:p w14:paraId="0F99A7C9">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23.00</w:t>
            </w:r>
          </w:p>
        </w:tc>
      </w:tr>
      <w:tr w14:paraId="2190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noWrap/>
            <w:vAlign w:val="center"/>
          </w:tcPr>
          <w:p w14:paraId="1E35D8CF">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vertAlign w:val="baseline"/>
              </w:rPr>
            </w:pPr>
            <w:r>
              <w:rPr>
                <w:rFonts w:hint="eastAsia" w:ascii="仿宋" w:hAnsi="仿宋" w:eastAsia="仿宋" w:cs="仿宋"/>
                <w:b/>
                <w:bCs/>
                <w:i w:val="0"/>
                <w:iCs w:val="0"/>
                <w:color w:val="000000"/>
                <w:kern w:val="0"/>
                <w:sz w:val="22"/>
                <w:szCs w:val="22"/>
                <w:u w:val="none"/>
                <w:bdr w:val="none" w:color="auto" w:sz="0" w:space="0"/>
                <w:vertAlign w:val="baseline"/>
                <w:lang w:val="en-US" w:eastAsia="zh-CN" w:bidi="ar"/>
              </w:rPr>
              <w:t>7</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6CB3F1DD">
            <w:pPr>
              <w:keepNext w:val="0"/>
              <w:keepLines w:val="0"/>
              <w:widowControl/>
              <w:suppressLineNumbers w:val="0"/>
              <w:jc w:val="center"/>
              <w:textAlignment w:val="bottom"/>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监控中心管理设备</w:t>
            </w:r>
          </w:p>
        </w:tc>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10DF92C4">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2017年</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1AB77AD5">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noWrap/>
            <w:vAlign w:val="center"/>
          </w:tcPr>
          <w:p w14:paraId="2A260F0E">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16.00</w:t>
            </w:r>
          </w:p>
        </w:tc>
      </w:tr>
      <w:tr w14:paraId="1AD8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noWrap/>
            <w:vAlign w:val="center"/>
          </w:tcPr>
          <w:p w14:paraId="132404CA">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vertAlign w:val="baseline"/>
              </w:rPr>
            </w:pPr>
            <w:r>
              <w:rPr>
                <w:rFonts w:hint="eastAsia" w:ascii="仿宋" w:hAnsi="仿宋" w:eastAsia="仿宋" w:cs="仿宋"/>
                <w:b/>
                <w:bCs/>
                <w:i w:val="0"/>
                <w:iCs w:val="0"/>
                <w:color w:val="000000"/>
                <w:kern w:val="0"/>
                <w:sz w:val="22"/>
                <w:szCs w:val="22"/>
                <w:u w:val="none"/>
                <w:bdr w:val="none" w:color="auto" w:sz="0" w:space="0"/>
                <w:vertAlign w:val="baseline"/>
                <w:lang w:val="en-US" w:eastAsia="zh-CN" w:bidi="ar"/>
              </w:rPr>
              <w:t>8</w:t>
            </w:r>
          </w:p>
        </w:tc>
        <w:tc>
          <w:tcPr>
            <w:tcW w:w="2850" w:type="dxa"/>
            <w:tcBorders>
              <w:top w:val="single" w:color="000000" w:sz="4" w:space="0"/>
              <w:left w:val="single" w:color="000000" w:sz="4" w:space="0"/>
              <w:bottom w:val="single" w:color="000000" w:sz="4" w:space="0"/>
              <w:right w:val="single" w:color="000000" w:sz="4" w:space="0"/>
            </w:tcBorders>
            <w:shd w:val="clear"/>
            <w:noWrap/>
            <w:vAlign w:val="center"/>
          </w:tcPr>
          <w:p w14:paraId="387F318E">
            <w:pPr>
              <w:keepNext w:val="0"/>
              <w:keepLines w:val="0"/>
              <w:widowControl/>
              <w:suppressLineNumbers w:val="0"/>
              <w:jc w:val="center"/>
              <w:textAlignment w:val="bottom"/>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监控前段摄像机</w:t>
            </w:r>
          </w:p>
        </w:tc>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76D95982">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2017年</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6545CB73">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noWrap/>
            <w:vAlign w:val="center"/>
          </w:tcPr>
          <w:p w14:paraId="7190B55B">
            <w:pPr>
              <w:keepNext w:val="0"/>
              <w:keepLines w:val="0"/>
              <w:widowControl/>
              <w:suppressLineNumbers w:val="0"/>
              <w:jc w:val="center"/>
              <w:textAlignment w:val="center"/>
              <w:rPr>
                <w:rFonts w:hint="eastAsia" w:ascii="仿宋" w:hAnsi="仿宋" w:eastAsia="仿宋" w:cs="仿宋"/>
                <w:i w:val="0"/>
                <w:iCs w:val="0"/>
                <w:color w:val="000000"/>
                <w:sz w:val="22"/>
                <w:szCs w:val="22"/>
                <w:u w:val="none"/>
                <w:vertAlign w:val="baseline"/>
              </w:rPr>
            </w:pPr>
            <w:r>
              <w:rPr>
                <w:rFonts w:hint="eastAsia" w:ascii="仿宋" w:hAnsi="仿宋" w:eastAsia="仿宋" w:cs="仿宋"/>
                <w:i w:val="0"/>
                <w:iCs w:val="0"/>
                <w:color w:val="000000"/>
                <w:kern w:val="0"/>
                <w:sz w:val="22"/>
                <w:szCs w:val="22"/>
                <w:u w:val="none"/>
                <w:bdr w:val="none" w:color="auto" w:sz="0" w:space="0"/>
                <w:vertAlign w:val="baseline"/>
                <w:lang w:val="en-US" w:eastAsia="zh-CN" w:bidi="ar"/>
              </w:rPr>
              <w:t>23.00</w:t>
            </w:r>
          </w:p>
        </w:tc>
      </w:tr>
    </w:tbl>
    <w:p w14:paraId="20604AE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A317A38">
      <w:pPr>
        <w:numPr>
          <w:ilvl w:val="0"/>
          <w:numId w:val="0"/>
        </w:numPr>
        <w:spacing w:line="360" w:lineRule="auto"/>
        <w:ind w:firstLine="480" w:firstLineChars="200"/>
        <w:rPr>
          <w:rFonts w:hint="default" w:ascii="仿宋" w:hAnsi="仿宋" w:eastAsia="仿宋" w:cs="仿宋"/>
          <w:bCs/>
          <w:color w:val="auto"/>
          <w:sz w:val="24"/>
          <w:szCs w:val="24"/>
          <w:highlight w:val="none"/>
          <w:vertAlign w:val="baseline"/>
          <w:lang w:val="en-US" w:eastAsia="zh-CN"/>
        </w:rPr>
      </w:pPr>
      <w:bookmarkStart w:id="12" w:name="_GoBack"/>
      <w:bookmarkEnd w:id="12"/>
      <w:r>
        <w:rPr>
          <w:rFonts w:hint="eastAsia" w:ascii="仿宋" w:hAnsi="仿宋" w:eastAsia="仿宋" w:cs="仿宋"/>
          <w:bCs/>
          <w:color w:val="auto"/>
          <w:sz w:val="24"/>
          <w:szCs w:val="24"/>
          <w:highlight w:val="none"/>
          <w:vertAlign w:val="baseline"/>
          <w:lang w:val="en-US" w:eastAsia="zh-CN"/>
        </w:rPr>
        <w:t>注：报价人可根据资产明细进行分项报价</w:t>
      </w:r>
    </w:p>
    <w:p w14:paraId="4090E24F">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11B89CBE">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5BDAE34B">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3B1A49CD">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4904F27D">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59E4E33A">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76F3068D">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4375FC5B">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7669D015">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084B51FC">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69A5ACDC">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714A35FC">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35A2E9AC">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3DA35092">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2F83853E">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7529FDFC">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7E7DCF12">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4E28805E">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78AF205C">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8" w:name="_Toc3841"/>
      <w:bookmarkStart w:id="9" w:name="_Toc11138"/>
      <w:r>
        <w:rPr>
          <w:rFonts w:hint="eastAsia" w:ascii="仿宋" w:hAnsi="仿宋" w:eastAsia="仿宋" w:cs="宋体"/>
          <w:bCs/>
          <w:color w:val="auto"/>
          <w:sz w:val="32"/>
          <w:szCs w:val="32"/>
          <w:highlight w:val="none"/>
          <w:lang w:val="en-US" w:eastAsia="zh-CN"/>
        </w:rPr>
        <w:t>报价文件格式</w:t>
      </w:r>
      <w:bookmarkEnd w:id="8"/>
      <w:bookmarkEnd w:id="9"/>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487"/>
        <w:gridCol w:w="1704"/>
        <w:gridCol w:w="1371"/>
        <w:gridCol w:w="2450"/>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978"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487"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服务名称</w:t>
            </w:r>
          </w:p>
        </w:tc>
        <w:tc>
          <w:tcPr>
            <w:tcW w:w="1704"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报价（元）</w:t>
            </w:r>
          </w:p>
        </w:tc>
        <w:tc>
          <w:tcPr>
            <w:tcW w:w="1371"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服务期</w:t>
            </w:r>
          </w:p>
        </w:tc>
        <w:tc>
          <w:tcPr>
            <w:tcW w:w="2450"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78"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487"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1704"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1371"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2450"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78"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487"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1704"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1371"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2450"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78"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487"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1704"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1371"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2450"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78"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487"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1704"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1371"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2450"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78"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487"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1704"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1371"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2450"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78"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487"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1704"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1371"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2450"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78"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487"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1704"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1371"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2450"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3、采购需求中要求的证明材料等相关资料，包含服务方案、增值服务等内容；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4、业绩证明材料：近一年内的证明材料，如开具的增值税专用发票复印件（发票内容是响应产品在其他单位的供货价）等；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三、我方给贵院所供产品价格均不低于市场价或政府限价，否则,贵院有权拒绝付款。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10"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10"/>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1" w:name="_Toc4072"/>
      <w:r>
        <w:rPr>
          <w:rFonts w:hint="eastAsia" w:ascii="仿宋" w:hAnsi="仿宋" w:eastAsia="仿宋" w:cs="宋体"/>
          <w:bCs/>
          <w:color w:val="auto"/>
          <w:sz w:val="32"/>
          <w:szCs w:val="32"/>
          <w:highlight w:val="none"/>
          <w:lang w:val="en-US" w:eastAsia="zh-CN"/>
        </w:rPr>
        <w:t>协议签订</w:t>
      </w:r>
      <w:bookmarkEnd w:id="11"/>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B3C188E"/>
    <w:rsid w:val="0B603E17"/>
    <w:rsid w:val="0BC41F21"/>
    <w:rsid w:val="10D4626B"/>
    <w:rsid w:val="110C12EC"/>
    <w:rsid w:val="11951E4E"/>
    <w:rsid w:val="12040D82"/>
    <w:rsid w:val="124D331C"/>
    <w:rsid w:val="12B32485"/>
    <w:rsid w:val="12D55D1E"/>
    <w:rsid w:val="14C76F80"/>
    <w:rsid w:val="15E12F09"/>
    <w:rsid w:val="17E14748"/>
    <w:rsid w:val="193E2DCB"/>
    <w:rsid w:val="196A6FCE"/>
    <w:rsid w:val="198F2D53"/>
    <w:rsid w:val="1A66082C"/>
    <w:rsid w:val="1A9A51D3"/>
    <w:rsid w:val="1AFD138A"/>
    <w:rsid w:val="1C1B6C9C"/>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3F754DFF"/>
    <w:rsid w:val="40386EB3"/>
    <w:rsid w:val="40D21EC7"/>
    <w:rsid w:val="417E123A"/>
    <w:rsid w:val="41A90BE2"/>
    <w:rsid w:val="44E33196"/>
    <w:rsid w:val="45D95AA6"/>
    <w:rsid w:val="48AA548E"/>
    <w:rsid w:val="4973433F"/>
    <w:rsid w:val="49C96E15"/>
    <w:rsid w:val="49E45221"/>
    <w:rsid w:val="4AEA0017"/>
    <w:rsid w:val="4D84279B"/>
    <w:rsid w:val="4E056021"/>
    <w:rsid w:val="4F3F325D"/>
    <w:rsid w:val="50281B04"/>
    <w:rsid w:val="51542485"/>
    <w:rsid w:val="51B81BA9"/>
    <w:rsid w:val="52074D56"/>
    <w:rsid w:val="556E3867"/>
    <w:rsid w:val="56F03878"/>
    <w:rsid w:val="579E5CFB"/>
    <w:rsid w:val="57AE0B41"/>
    <w:rsid w:val="5927777C"/>
    <w:rsid w:val="59396B30"/>
    <w:rsid w:val="5A4E2167"/>
    <w:rsid w:val="5AC74501"/>
    <w:rsid w:val="5B975D90"/>
    <w:rsid w:val="5EF47BF5"/>
    <w:rsid w:val="5F9A5527"/>
    <w:rsid w:val="62402164"/>
    <w:rsid w:val="632F44C3"/>
    <w:rsid w:val="64F462FB"/>
    <w:rsid w:val="666F1DE3"/>
    <w:rsid w:val="66900CD4"/>
    <w:rsid w:val="671D6BBF"/>
    <w:rsid w:val="68123677"/>
    <w:rsid w:val="681C59D9"/>
    <w:rsid w:val="68DD679C"/>
    <w:rsid w:val="6994515E"/>
    <w:rsid w:val="69EA1A96"/>
    <w:rsid w:val="6C1D7BEB"/>
    <w:rsid w:val="6D773183"/>
    <w:rsid w:val="6E560129"/>
    <w:rsid w:val="6E713C29"/>
    <w:rsid w:val="6E772B54"/>
    <w:rsid w:val="6F137C43"/>
    <w:rsid w:val="70163C9F"/>
    <w:rsid w:val="71723597"/>
    <w:rsid w:val="727C6025"/>
    <w:rsid w:val="7315161C"/>
    <w:rsid w:val="73BF3D9C"/>
    <w:rsid w:val="75570F51"/>
    <w:rsid w:val="75E4177A"/>
    <w:rsid w:val="764741E2"/>
    <w:rsid w:val="770025E3"/>
    <w:rsid w:val="77183DD1"/>
    <w:rsid w:val="77601667"/>
    <w:rsid w:val="77D73344"/>
    <w:rsid w:val="784371B5"/>
    <w:rsid w:val="787E5EB6"/>
    <w:rsid w:val="78D2700F"/>
    <w:rsid w:val="79A00BB8"/>
    <w:rsid w:val="7AF611FD"/>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eastAsia" w:ascii="宋体" w:hAnsi="宋体" w:eastAsia="宋体" w:cs="宋体"/>
      <w:color w:val="000000"/>
      <w:sz w:val="22"/>
      <w:szCs w:val="22"/>
      <w:u w:val="none"/>
    </w:rPr>
  </w:style>
  <w:style w:type="character" w:customStyle="1" w:styleId="19">
    <w:name w:val="font21"/>
    <w:basedOn w:val="10"/>
    <w:uiPriority w:val="0"/>
    <w:rPr>
      <w:rFonts w:hint="eastAsia" w:ascii="宋体" w:hAnsi="宋体" w:eastAsia="宋体" w:cs="宋体"/>
      <w:color w:val="000000"/>
      <w:sz w:val="20"/>
      <w:szCs w:val="20"/>
      <w:u w:val="none"/>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4038</Words>
  <Characters>4359</Characters>
  <Lines>0</Lines>
  <Paragraphs>0</Paragraphs>
  <TotalTime>11</TotalTime>
  <ScaleCrop>false</ScaleCrop>
  <LinksUpToDate>false</LinksUpToDate>
  <CharactersWithSpaces>4818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2026-03-02T02:34:25Z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