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5F58A0ED">
      <w:pPr>
        <w:jc w:val="center"/>
        <w:rPr>
          <w:rFonts w:hint="eastAsia" w:ascii="黑体" w:eastAsia="黑体"/>
          <w:b/>
          <w:color w:val="auto"/>
          <w:sz w:val="52"/>
          <w:szCs w:val="52"/>
          <w:highlight w:val="none"/>
          <w:vertAlign w:val="baseline"/>
          <w:lang w:val="en-US" w:eastAsia="zh-CN"/>
        </w:rPr>
      </w:pPr>
      <w:r>
        <w:rPr>
          <w:rFonts w:hint="eastAsia" w:ascii="黑体" w:eastAsia="黑体"/>
          <w:b/>
          <w:color w:val="auto"/>
          <w:sz w:val="52"/>
          <w:szCs w:val="52"/>
          <w:highlight w:val="none"/>
          <w:vertAlign w:val="baseline"/>
          <w:lang w:val="en-US" w:eastAsia="zh-CN"/>
        </w:rPr>
        <w:t>部分医用耗材供应商（短期目录）</w:t>
      </w:r>
    </w:p>
    <w:p w14:paraId="46D447FC">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lang w:val="en-US" w:eastAsia="zh-CN"/>
        </w:rPr>
        <w:t>遴选项目</w:t>
      </w:r>
    </w:p>
    <w:p w14:paraId="56B62D87">
      <w:pPr>
        <w:rPr>
          <w:rFonts w:hint="eastAsia" w:ascii="黑体" w:eastAsia="黑体"/>
          <w:color w:val="auto"/>
          <w:sz w:val="32"/>
          <w:highlight w:val="none"/>
        </w:rPr>
      </w:pPr>
    </w:p>
    <w:p w14:paraId="7FFAE451">
      <w:pPr>
        <w:rPr>
          <w:rFonts w:hint="eastAsia" w:ascii="黑体" w:eastAsia="黑体"/>
          <w:color w:val="auto"/>
          <w:sz w:val="32"/>
          <w:highlight w:val="none"/>
        </w:rPr>
      </w:pPr>
    </w:p>
    <w:p w14:paraId="1D0B4F85">
      <w:pPr>
        <w:rPr>
          <w:rFonts w:hint="eastAsia" w:ascii="黑体" w:eastAsia="黑体"/>
          <w:color w:val="auto"/>
          <w:sz w:val="32"/>
          <w:highlight w:val="none"/>
        </w:rPr>
      </w:pPr>
    </w:p>
    <w:p w14:paraId="044D5977">
      <w:pPr>
        <w:rPr>
          <w:rFonts w:hint="eastAsia" w:ascii="黑体" w:eastAsia="黑体"/>
          <w:color w:val="auto"/>
          <w:sz w:val="32"/>
          <w:highlight w:val="none"/>
        </w:rPr>
      </w:pPr>
    </w:p>
    <w:p w14:paraId="0F76EFC1">
      <w:pPr>
        <w:rPr>
          <w:rFonts w:hint="eastAsia" w:ascii="黑体" w:eastAsia="黑体"/>
          <w:color w:val="auto"/>
          <w:sz w:val="32"/>
          <w:highlight w:val="none"/>
        </w:rPr>
      </w:pPr>
    </w:p>
    <w:p w14:paraId="5EE888EF">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遴选</w:t>
      </w:r>
      <w:r>
        <w:rPr>
          <w:rFonts w:hint="eastAsia" w:ascii="黑体" w:eastAsia="黑体"/>
          <w:b/>
          <w:bCs/>
          <w:color w:val="auto"/>
          <w:sz w:val="84"/>
          <w:highlight w:val="none"/>
          <w:vertAlign w:val="baseline"/>
        </w:rPr>
        <w:t>文件</w:t>
      </w:r>
    </w:p>
    <w:p w14:paraId="41ACF85C">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6EA3F528">
      <w:pPr>
        <w:spacing w:line="360" w:lineRule="auto"/>
        <w:jc w:val="center"/>
        <w:rPr>
          <w:rFonts w:hint="eastAsia" w:ascii="黑体" w:eastAsia="黑体"/>
          <w:b/>
          <w:bCs/>
          <w:color w:val="auto"/>
          <w:sz w:val="32"/>
          <w:highlight w:val="none"/>
          <w:vertAlign w:val="baseline"/>
        </w:rPr>
      </w:pPr>
    </w:p>
    <w:p w14:paraId="0548B11B">
      <w:pPr>
        <w:spacing w:line="360" w:lineRule="auto"/>
        <w:jc w:val="center"/>
        <w:rPr>
          <w:rFonts w:hint="eastAsia" w:ascii="黑体" w:eastAsia="黑体"/>
          <w:b/>
          <w:bCs/>
          <w:color w:val="auto"/>
          <w:sz w:val="32"/>
          <w:highlight w:val="none"/>
          <w:vertAlign w:val="baseline"/>
        </w:rPr>
      </w:pPr>
    </w:p>
    <w:p w14:paraId="591E1858">
      <w:pPr>
        <w:spacing w:line="360" w:lineRule="auto"/>
        <w:jc w:val="center"/>
        <w:rPr>
          <w:rFonts w:hint="eastAsia" w:ascii="黑体" w:eastAsia="黑体"/>
          <w:b/>
          <w:bCs/>
          <w:color w:val="auto"/>
          <w:sz w:val="32"/>
          <w:highlight w:val="none"/>
          <w:vertAlign w:val="baseline"/>
        </w:rPr>
      </w:pPr>
    </w:p>
    <w:p w14:paraId="572031EF">
      <w:pPr>
        <w:spacing w:line="360" w:lineRule="auto"/>
        <w:jc w:val="center"/>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599E2319">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项目编号：FECG20260107</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20</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10"/>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10"/>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10"/>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10"/>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10"/>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10"/>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3"/>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3"/>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遴选</w:t>
      </w:r>
      <w:r>
        <w:rPr>
          <w:rFonts w:hint="eastAsia" w:ascii="仿宋" w:hAnsi="仿宋" w:eastAsia="仿宋" w:cs="宋体"/>
          <w:color w:val="auto"/>
          <w:sz w:val="32"/>
          <w:szCs w:val="32"/>
          <w:highlight w:val="none"/>
          <w:lang w:eastAsia="zh-CN"/>
        </w:rPr>
        <w:t>邀请函</w:t>
      </w:r>
      <w:bookmarkEnd w:id="1"/>
      <w:bookmarkEnd w:id="2"/>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青岛市妇女儿童医院部分医用耗材（短期目录）进行供应商公开遴选，特邀请有相应资质和具有相应供货能力的供应商根据遴选文件要求参加，并提供满足要求的货物</w:t>
      </w:r>
      <w:r>
        <w:rPr>
          <w:rFonts w:hint="eastAsia" w:ascii="仿宋" w:hAnsi="仿宋" w:eastAsia="仿宋" w:cs="宋体"/>
          <w:color w:val="auto"/>
          <w:kern w:val="0"/>
          <w:sz w:val="24"/>
          <w:szCs w:val="24"/>
          <w:highlight w:val="none"/>
          <w:vertAlign w:val="baseline"/>
        </w:rPr>
        <w:t>。</w:t>
      </w:r>
    </w:p>
    <w:p w14:paraId="1C1B4D5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1、项目名称：青岛市妇女儿童医院</w:t>
      </w:r>
      <w:r>
        <w:rPr>
          <w:rFonts w:hint="eastAsia" w:ascii="仿宋" w:hAnsi="仿宋" w:eastAsia="仿宋" w:cs="宋体"/>
          <w:color w:val="auto"/>
          <w:sz w:val="24"/>
          <w:szCs w:val="24"/>
          <w:highlight w:val="none"/>
          <w:vertAlign w:val="baseline"/>
          <w:lang w:val="en-US" w:eastAsia="zh-CN"/>
        </w:rPr>
        <w:t>部分医用耗材供应商（短期目录）采购项目</w:t>
      </w:r>
    </w:p>
    <w:p w14:paraId="0BF5E7E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60107</w:t>
      </w:r>
    </w:p>
    <w:p w14:paraId="7F3BF8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12A2271D">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26DEEDD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12BC3AEF">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3B9484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372E987">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3E2EC2A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2EFAAE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43F4E73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72444FA4">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25ED3E65">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026BD64">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C038EB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75C23B6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文件获取方式：青岛市妇女儿童医院官网-信息公开-招标采购栏院内遴选公告中附件下载。</w:t>
      </w:r>
    </w:p>
    <w:p w14:paraId="68C7EFD0">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25</w:t>
      </w:r>
      <w:r>
        <w:rPr>
          <w:rFonts w:hint="eastAsia" w:ascii="仿宋" w:hAnsi="仿宋" w:eastAsia="仿宋" w:cs="宋体"/>
          <w:color w:val="auto"/>
          <w:kern w:val="0"/>
          <w:sz w:val="24"/>
          <w:szCs w:val="24"/>
          <w:highlight w:val="none"/>
          <w:vertAlign w:val="baseline"/>
        </w:rPr>
        <w:t>日止，</w:t>
      </w:r>
      <w:r>
        <w:rPr>
          <w:rFonts w:hint="eastAsia" w:ascii="仿宋" w:hAnsi="仿宋" w:eastAsia="仿宋" w:cs="宋体"/>
          <w:color w:val="auto"/>
          <w:kern w:val="0"/>
          <w:sz w:val="24"/>
          <w:szCs w:val="24"/>
          <w:highlight w:val="none"/>
          <w:vertAlign w:val="baseline"/>
          <w:lang w:val="en-US" w:eastAsia="zh-CN"/>
        </w:rPr>
        <w:t>工作日</w:t>
      </w:r>
      <w:r>
        <w:rPr>
          <w:rFonts w:hint="eastAsia" w:ascii="仿宋" w:hAnsi="仿宋" w:eastAsia="仿宋" w:cs="宋体"/>
          <w:color w:val="auto"/>
          <w:kern w:val="0"/>
          <w:sz w:val="24"/>
          <w:szCs w:val="24"/>
          <w:highlight w:val="none"/>
          <w:vertAlign w:val="baseline"/>
        </w:rPr>
        <w:t>每天上午9:00至11:30，下午13:30至16:30</w:t>
      </w:r>
      <w:r>
        <w:rPr>
          <w:rFonts w:hint="eastAsia" w:ascii="仿宋" w:hAnsi="仿宋" w:eastAsia="仿宋" w:cs="宋体"/>
          <w:color w:val="auto"/>
          <w:kern w:val="0"/>
          <w:sz w:val="24"/>
          <w:szCs w:val="24"/>
          <w:highlight w:val="none"/>
          <w:vertAlign w:val="baseline"/>
          <w:lang w:eastAsia="zh-CN"/>
        </w:rPr>
        <w:t>。</w:t>
      </w:r>
    </w:p>
    <w:p w14:paraId="5D38E4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14:paraId="2A7FCE9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遴选时间、报价</w:t>
      </w:r>
      <w:r>
        <w:rPr>
          <w:rFonts w:hint="eastAsia" w:ascii="仿宋" w:hAnsi="仿宋" w:eastAsia="仿宋" w:cs="宋体"/>
          <w:color w:val="auto"/>
          <w:sz w:val="24"/>
          <w:szCs w:val="24"/>
          <w:highlight w:val="none"/>
          <w:vertAlign w:val="baseline"/>
        </w:rPr>
        <w:t>文件递交时间及地点</w:t>
      </w:r>
    </w:p>
    <w:p w14:paraId="5172EA32">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方式：本项目为现场遴选项目，须报名供应商按时到场参加。（备：如采购人要求以线上或其他方式进行遴选评审的，则按照采购人要求的方式进行）</w:t>
      </w:r>
    </w:p>
    <w:p w14:paraId="108629FE">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具体公开遴选时间另行电话通知，请报名供应商保持手机畅通，因联系不畅等原因，未如期参加遴选的，责任自负。</w:t>
      </w:r>
    </w:p>
    <w:p w14:paraId="5DA44403">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r>
        <w:rPr>
          <w:rFonts w:hint="eastAsia" w:ascii="仿宋" w:hAnsi="仿宋" w:eastAsia="仿宋" w:cs="宋体"/>
          <w:b/>
          <w:bCs/>
          <w:color w:val="auto"/>
          <w:sz w:val="24"/>
          <w:szCs w:val="24"/>
          <w:highlight w:val="none"/>
          <w:vertAlign w:val="baseline"/>
          <w:lang w:val="en-US" w:eastAsia="zh-CN"/>
        </w:rPr>
        <w:t>及报名包组</w:t>
      </w:r>
      <w:r>
        <w:rPr>
          <w:rFonts w:hint="eastAsia" w:ascii="仿宋" w:hAnsi="仿宋" w:eastAsia="仿宋" w:cs="宋体"/>
          <w:color w:val="auto"/>
          <w:sz w:val="24"/>
          <w:szCs w:val="24"/>
          <w:highlight w:val="none"/>
          <w:vertAlign w:val="baseline"/>
          <w:lang w:val="en-US" w:eastAsia="zh-CN"/>
        </w:rPr>
        <w:t>。</w:t>
      </w:r>
    </w:p>
    <w:p w14:paraId="4F2FFA01">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780D40C7">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遴选</w:t>
      </w:r>
      <w:r>
        <w:rPr>
          <w:rFonts w:hint="eastAsia" w:ascii="仿宋" w:hAnsi="仿宋" w:eastAsia="仿宋" w:cs="宋体"/>
          <w:color w:val="auto"/>
          <w:sz w:val="24"/>
          <w:szCs w:val="24"/>
          <w:highlight w:val="none"/>
          <w:vertAlign w:val="baseline"/>
        </w:rPr>
        <w:t>采购文件不予接受。</w:t>
      </w:r>
    </w:p>
    <w:p w14:paraId="660A4458">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2103CE5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B70E9D">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6D2D47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08A2ED4B">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7E87AEE9">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562703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3328A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E12BA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2385DA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1E0C37F">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11"/>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r>
              <w:rPr>
                <w:rFonts w:hint="eastAsia" w:ascii="仿宋" w:hAnsi="仿宋" w:eastAsia="仿宋" w:cs="仿宋"/>
                <w:color w:val="auto"/>
                <w:sz w:val="44"/>
                <w:szCs w:val="44"/>
                <w:highlight w:val="none"/>
                <w:lang w:eastAsia="zh-CN"/>
              </w:rPr>
              <w:t>（</w:t>
            </w:r>
            <w:r>
              <w:rPr>
                <w:rFonts w:hint="eastAsia" w:ascii="仿宋" w:hAnsi="仿宋" w:eastAsia="仿宋" w:cs="仿宋"/>
                <w:color w:val="auto"/>
                <w:sz w:val="44"/>
                <w:szCs w:val="44"/>
                <w:highlight w:val="none"/>
                <w:lang w:val="en-US" w:eastAsia="zh-CN"/>
              </w:rPr>
              <w:t>包组</w:t>
            </w:r>
            <w:r>
              <w:rPr>
                <w:rFonts w:hint="eastAsia" w:ascii="仿宋" w:hAnsi="仿宋" w:eastAsia="仿宋" w:cs="仿宋"/>
                <w:color w:val="auto"/>
                <w:sz w:val="44"/>
                <w:szCs w:val="44"/>
                <w:highlight w:val="none"/>
                <w:lang w:eastAsia="zh-CN"/>
              </w:rPr>
              <w:t>）</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3"/>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108F5391">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rPr>
        <w:t>青岛市妇女儿童医院</w:t>
      </w:r>
      <w:r>
        <w:rPr>
          <w:rFonts w:hint="eastAsia" w:ascii="仿宋" w:hAnsi="仿宋" w:eastAsia="仿宋" w:cs="宋体"/>
          <w:color w:val="auto"/>
          <w:sz w:val="24"/>
          <w:szCs w:val="24"/>
          <w:highlight w:val="none"/>
          <w:vertAlign w:val="baseline"/>
          <w:lang w:val="en-US" w:eastAsia="zh-CN"/>
        </w:rPr>
        <w:t>部分医用耗材供应商（短期目录）采购项目</w:t>
      </w:r>
    </w:p>
    <w:p w14:paraId="41AC24D9">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60107</w:t>
      </w:r>
    </w:p>
    <w:p w14:paraId="44046053">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12"/>
        <w:tblW w:w="10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081"/>
        <w:gridCol w:w="1601"/>
        <w:gridCol w:w="4195"/>
        <w:gridCol w:w="1424"/>
        <w:gridCol w:w="738"/>
        <w:gridCol w:w="1207"/>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637" w:type="dxa"/>
            <w:vAlign w:val="center"/>
          </w:tcPr>
          <w:p w14:paraId="02A9B40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序号</w:t>
            </w:r>
          </w:p>
        </w:tc>
        <w:tc>
          <w:tcPr>
            <w:tcW w:w="1081" w:type="dxa"/>
            <w:vAlign w:val="center"/>
          </w:tcPr>
          <w:p w14:paraId="451BCE3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包组</w:t>
            </w:r>
          </w:p>
        </w:tc>
        <w:tc>
          <w:tcPr>
            <w:tcW w:w="1601" w:type="dxa"/>
            <w:vAlign w:val="center"/>
          </w:tcPr>
          <w:p w14:paraId="5309FBD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耗材名称</w:t>
            </w:r>
          </w:p>
        </w:tc>
        <w:tc>
          <w:tcPr>
            <w:tcW w:w="4195" w:type="dxa"/>
            <w:vAlign w:val="center"/>
          </w:tcPr>
          <w:p w14:paraId="5FCF9C7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参数要求</w:t>
            </w:r>
          </w:p>
        </w:tc>
        <w:tc>
          <w:tcPr>
            <w:tcW w:w="1424" w:type="dxa"/>
            <w:vAlign w:val="center"/>
          </w:tcPr>
          <w:p w14:paraId="22F0E66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规格/型号</w:t>
            </w:r>
          </w:p>
        </w:tc>
        <w:tc>
          <w:tcPr>
            <w:tcW w:w="738" w:type="dxa"/>
            <w:vAlign w:val="center"/>
          </w:tcPr>
          <w:p w14:paraId="1F5310A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单位</w:t>
            </w:r>
          </w:p>
        </w:tc>
        <w:tc>
          <w:tcPr>
            <w:tcW w:w="1207" w:type="dxa"/>
            <w:vAlign w:val="center"/>
          </w:tcPr>
          <w:p w14:paraId="38BF836F">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预算单价</w:t>
            </w:r>
          </w:p>
          <w:p w14:paraId="3F3C2C3C">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（元）</w:t>
            </w:r>
          </w:p>
        </w:tc>
      </w:tr>
      <w:tr w14:paraId="2E71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637" w:type="dxa"/>
            <w:vMerge w:val="restart"/>
            <w:vAlign w:val="center"/>
          </w:tcPr>
          <w:p w14:paraId="2FCD74EE">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w:t>
            </w:r>
          </w:p>
        </w:tc>
        <w:tc>
          <w:tcPr>
            <w:tcW w:w="1081" w:type="dxa"/>
            <w:vMerge w:val="restart"/>
            <w:vAlign w:val="center"/>
          </w:tcPr>
          <w:p w14:paraId="5FE34183">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第一包</w:t>
            </w:r>
          </w:p>
        </w:tc>
        <w:tc>
          <w:tcPr>
            <w:tcW w:w="1601" w:type="dxa"/>
            <w:vMerge w:val="restart"/>
            <w:vAlign w:val="center"/>
          </w:tcPr>
          <w:p w14:paraId="6B9022A8">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宋体"/>
                <w:color w:val="auto"/>
                <w:sz w:val="22"/>
                <w:szCs w:val="22"/>
                <w:highlight w:val="none"/>
                <w:vertAlign w:val="baseline"/>
                <w:lang w:val="en-US" w:eastAsia="zh-CN"/>
              </w:rPr>
              <w:t>医用酒精消毒棉片</w:t>
            </w:r>
          </w:p>
        </w:tc>
        <w:tc>
          <w:tcPr>
            <w:tcW w:w="4195" w:type="dxa"/>
            <w:vMerge w:val="restart"/>
            <w:vAlign w:val="center"/>
          </w:tcPr>
          <w:p w14:paraId="439AE5EC">
            <w:pPr>
              <w:numPr>
                <w:ilvl w:val="0"/>
                <w:numId w:val="4"/>
              </w:numPr>
              <w:spacing w:line="240" w:lineRule="auto"/>
              <w:jc w:val="both"/>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可杀灭大肠杆菌、金黄色葡萄球菌、铜绿假单胞菌、白色念球菌等微生物；</w:t>
            </w:r>
          </w:p>
          <w:p w14:paraId="5E18CE07">
            <w:pPr>
              <w:numPr>
                <w:ilvl w:val="0"/>
                <w:numId w:val="4"/>
              </w:numPr>
              <w:spacing w:line="240" w:lineRule="auto"/>
              <w:jc w:val="both"/>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单包装，符合输液无菌操作要求；</w:t>
            </w:r>
          </w:p>
          <w:p w14:paraId="759A148C">
            <w:pPr>
              <w:numPr>
                <w:ilvl w:val="0"/>
                <w:numId w:val="4"/>
              </w:numPr>
              <w:spacing w:line="240" w:lineRule="auto"/>
              <w:jc w:val="both"/>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用于中心静脉接头消毒及输液装置的消毒。</w:t>
            </w:r>
          </w:p>
        </w:tc>
        <w:tc>
          <w:tcPr>
            <w:tcW w:w="1424" w:type="dxa"/>
            <w:vAlign w:val="center"/>
          </w:tcPr>
          <w:p w14:paraId="254683D0">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6*6cm</w:t>
            </w:r>
          </w:p>
        </w:tc>
        <w:tc>
          <w:tcPr>
            <w:tcW w:w="738" w:type="dxa"/>
            <w:vAlign w:val="center"/>
          </w:tcPr>
          <w:p w14:paraId="180B5839">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片</w:t>
            </w:r>
          </w:p>
        </w:tc>
        <w:tc>
          <w:tcPr>
            <w:tcW w:w="1207" w:type="dxa"/>
            <w:vAlign w:val="center"/>
          </w:tcPr>
          <w:p w14:paraId="528E76F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0.053</w:t>
            </w:r>
          </w:p>
        </w:tc>
      </w:tr>
      <w:tr w14:paraId="76060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637" w:type="dxa"/>
            <w:vMerge w:val="continue"/>
            <w:vAlign w:val="center"/>
          </w:tcPr>
          <w:p w14:paraId="4D78D3D7">
            <w:pPr>
              <w:spacing w:line="240" w:lineRule="auto"/>
              <w:jc w:val="center"/>
              <w:rPr>
                <w:sz w:val="22"/>
                <w:szCs w:val="22"/>
              </w:rPr>
            </w:pPr>
          </w:p>
        </w:tc>
        <w:tc>
          <w:tcPr>
            <w:tcW w:w="1081" w:type="dxa"/>
            <w:vMerge w:val="continue"/>
            <w:vAlign w:val="center"/>
          </w:tcPr>
          <w:p w14:paraId="118F733B">
            <w:pPr>
              <w:spacing w:line="240" w:lineRule="auto"/>
              <w:jc w:val="center"/>
              <w:rPr>
                <w:sz w:val="22"/>
                <w:szCs w:val="22"/>
              </w:rPr>
            </w:pPr>
          </w:p>
        </w:tc>
        <w:tc>
          <w:tcPr>
            <w:tcW w:w="1601" w:type="dxa"/>
            <w:vMerge w:val="continue"/>
            <w:vAlign w:val="center"/>
          </w:tcPr>
          <w:p w14:paraId="1FB1A652">
            <w:pPr>
              <w:spacing w:line="240" w:lineRule="auto"/>
              <w:jc w:val="center"/>
              <w:rPr>
                <w:sz w:val="22"/>
                <w:szCs w:val="22"/>
              </w:rPr>
            </w:pPr>
          </w:p>
        </w:tc>
        <w:tc>
          <w:tcPr>
            <w:tcW w:w="4195" w:type="dxa"/>
            <w:vMerge w:val="continue"/>
            <w:vAlign w:val="center"/>
          </w:tcPr>
          <w:p w14:paraId="6F7C8273">
            <w:pPr>
              <w:spacing w:line="240" w:lineRule="auto"/>
              <w:jc w:val="center"/>
              <w:rPr>
                <w:sz w:val="22"/>
                <w:szCs w:val="22"/>
              </w:rPr>
            </w:pPr>
          </w:p>
        </w:tc>
        <w:tc>
          <w:tcPr>
            <w:tcW w:w="1424" w:type="dxa"/>
            <w:vAlign w:val="center"/>
          </w:tcPr>
          <w:p w14:paraId="20367EB9">
            <w:pPr>
              <w:spacing w:line="240" w:lineRule="auto"/>
              <w:jc w:val="center"/>
              <w:rPr>
                <w:sz w:val="22"/>
                <w:szCs w:val="22"/>
              </w:rPr>
            </w:pPr>
            <w:r>
              <w:rPr>
                <w:rFonts w:hint="eastAsia" w:ascii="仿宋" w:hAnsi="仿宋" w:eastAsia="仿宋" w:cs="仿宋"/>
                <w:b w:val="0"/>
                <w:bCs/>
                <w:color w:val="auto"/>
                <w:sz w:val="22"/>
                <w:szCs w:val="22"/>
                <w:highlight w:val="none"/>
                <w:vertAlign w:val="baseline"/>
                <w:lang w:val="en-US" w:eastAsia="zh-CN"/>
              </w:rPr>
              <w:t>12*12cm</w:t>
            </w:r>
          </w:p>
        </w:tc>
        <w:tc>
          <w:tcPr>
            <w:tcW w:w="738" w:type="dxa"/>
            <w:vAlign w:val="center"/>
          </w:tcPr>
          <w:p w14:paraId="4982668D">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片</w:t>
            </w:r>
          </w:p>
        </w:tc>
        <w:tc>
          <w:tcPr>
            <w:tcW w:w="1207" w:type="dxa"/>
            <w:vAlign w:val="center"/>
          </w:tcPr>
          <w:p w14:paraId="3E5F6351">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0.192</w:t>
            </w:r>
          </w:p>
        </w:tc>
      </w:tr>
      <w:tr w14:paraId="7810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exact"/>
          <w:jc w:val="center"/>
        </w:trPr>
        <w:tc>
          <w:tcPr>
            <w:tcW w:w="637" w:type="dxa"/>
            <w:vMerge w:val="restart"/>
            <w:vAlign w:val="center"/>
          </w:tcPr>
          <w:p w14:paraId="66FFC074">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w:t>
            </w:r>
          </w:p>
        </w:tc>
        <w:tc>
          <w:tcPr>
            <w:tcW w:w="1081" w:type="dxa"/>
            <w:vMerge w:val="restart"/>
            <w:vAlign w:val="center"/>
          </w:tcPr>
          <w:p w14:paraId="018D0F20">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第二包</w:t>
            </w:r>
          </w:p>
        </w:tc>
        <w:tc>
          <w:tcPr>
            <w:tcW w:w="1601" w:type="dxa"/>
            <w:vMerge w:val="restart"/>
            <w:vAlign w:val="center"/>
          </w:tcPr>
          <w:p w14:paraId="7F7EB18B">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临床化学质控血清</w:t>
            </w:r>
          </w:p>
        </w:tc>
        <w:tc>
          <w:tcPr>
            <w:tcW w:w="4195" w:type="dxa"/>
            <w:vMerge w:val="restart"/>
            <w:vAlign w:val="center"/>
          </w:tcPr>
          <w:p w14:paraId="7B713C66">
            <w:pPr>
              <w:numPr>
                <w:ilvl w:val="0"/>
                <w:numId w:val="5"/>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用于监测试剂结果质量控制；</w:t>
            </w:r>
          </w:p>
          <w:p w14:paraId="3B3E9396">
            <w:pPr>
              <w:numPr>
                <w:ilvl w:val="0"/>
                <w:numId w:val="5"/>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配套设备：全自动生化分析仪、ADVIA2400；</w:t>
            </w:r>
          </w:p>
          <w:p w14:paraId="31F9933B">
            <w:pPr>
              <w:numPr>
                <w:ilvl w:val="0"/>
                <w:numId w:val="5"/>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符合医院检验科现室间质评标准要求，符合15189复审条件。</w:t>
            </w:r>
          </w:p>
        </w:tc>
        <w:tc>
          <w:tcPr>
            <w:tcW w:w="1424" w:type="dxa"/>
            <w:vAlign w:val="center"/>
          </w:tcPr>
          <w:p w14:paraId="241B3D73">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正常/水平I:6*5ml</w:t>
            </w:r>
          </w:p>
        </w:tc>
        <w:tc>
          <w:tcPr>
            <w:tcW w:w="738" w:type="dxa"/>
            <w:vAlign w:val="center"/>
          </w:tcPr>
          <w:p w14:paraId="67FA0AF3">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619AB8A1">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806.55</w:t>
            </w:r>
          </w:p>
        </w:tc>
      </w:tr>
      <w:tr w14:paraId="7345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exact"/>
          <w:jc w:val="center"/>
        </w:trPr>
        <w:tc>
          <w:tcPr>
            <w:tcW w:w="637" w:type="dxa"/>
            <w:vMerge w:val="continue"/>
            <w:vAlign w:val="center"/>
          </w:tcPr>
          <w:p w14:paraId="6CC0C89F">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p>
        </w:tc>
        <w:tc>
          <w:tcPr>
            <w:tcW w:w="1081" w:type="dxa"/>
            <w:vMerge w:val="continue"/>
            <w:vAlign w:val="center"/>
          </w:tcPr>
          <w:p w14:paraId="41166AA6">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p>
        </w:tc>
        <w:tc>
          <w:tcPr>
            <w:tcW w:w="1601" w:type="dxa"/>
            <w:vMerge w:val="continue"/>
            <w:vAlign w:val="center"/>
          </w:tcPr>
          <w:p w14:paraId="70B68AC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p>
        </w:tc>
        <w:tc>
          <w:tcPr>
            <w:tcW w:w="4195" w:type="dxa"/>
            <w:vMerge w:val="continue"/>
            <w:vAlign w:val="center"/>
          </w:tcPr>
          <w:p w14:paraId="6D2C4592">
            <w:pPr>
              <w:spacing w:line="240" w:lineRule="auto"/>
              <w:jc w:val="center"/>
              <w:rPr>
                <w:sz w:val="22"/>
                <w:szCs w:val="22"/>
              </w:rPr>
            </w:pPr>
          </w:p>
        </w:tc>
        <w:tc>
          <w:tcPr>
            <w:tcW w:w="1424" w:type="dxa"/>
            <w:vAlign w:val="center"/>
          </w:tcPr>
          <w:p w14:paraId="36456936">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异常/水平II：6*5ml</w:t>
            </w:r>
          </w:p>
        </w:tc>
        <w:tc>
          <w:tcPr>
            <w:tcW w:w="738" w:type="dxa"/>
            <w:vAlign w:val="center"/>
          </w:tcPr>
          <w:p w14:paraId="08148881">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21E2C01E">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806.55</w:t>
            </w:r>
          </w:p>
        </w:tc>
      </w:tr>
      <w:tr w14:paraId="687B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exact"/>
          <w:jc w:val="center"/>
        </w:trPr>
        <w:tc>
          <w:tcPr>
            <w:tcW w:w="637" w:type="dxa"/>
            <w:vAlign w:val="center"/>
          </w:tcPr>
          <w:p w14:paraId="14F922E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3</w:t>
            </w:r>
          </w:p>
        </w:tc>
        <w:tc>
          <w:tcPr>
            <w:tcW w:w="1081" w:type="dxa"/>
            <w:vAlign w:val="center"/>
          </w:tcPr>
          <w:p w14:paraId="0E0D996E">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第三包</w:t>
            </w:r>
          </w:p>
        </w:tc>
        <w:tc>
          <w:tcPr>
            <w:tcW w:w="1601" w:type="dxa"/>
            <w:vAlign w:val="center"/>
          </w:tcPr>
          <w:p w14:paraId="14B7572B">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default" w:ascii="仿宋" w:hAnsi="仿宋" w:eastAsia="仿宋" w:cs="仿宋"/>
                <w:b w:val="0"/>
                <w:bCs/>
                <w:color w:val="auto"/>
                <w:sz w:val="22"/>
                <w:szCs w:val="22"/>
                <w:highlight w:val="none"/>
                <w:vertAlign w:val="baseline"/>
                <w:lang w:val="en-US" w:eastAsia="zh-CN"/>
              </w:rPr>
              <w:t>多项生化质控品</w:t>
            </w:r>
          </w:p>
        </w:tc>
        <w:tc>
          <w:tcPr>
            <w:tcW w:w="4195" w:type="dxa"/>
            <w:vAlign w:val="center"/>
          </w:tcPr>
          <w:p w14:paraId="38617426">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1、用于监测试剂结果质量控制；</w:t>
            </w:r>
          </w:p>
          <w:p w14:paraId="79926434">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2、配套设备：全自动生化分析仪、ADVIA2400；</w:t>
            </w:r>
          </w:p>
          <w:p w14:paraId="0E3A72C4">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3、符合医院检验科现室间质评标准要求，符合15189复审条件。</w:t>
            </w:r>
          </w:p>
        </w:tc>
        <w:tc>
          <w:tcPr>
            <w:tcW w:w="1424" w:type="dxa"/>
            <w:vAlign w:val="center"/>
          </w:tcPr>
          <w:p w14:paraId="1C9E7CE0">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1×5mL(水平2)</w:t>
            </w:r>
          </w:p>
        </w:tc>
        <w:tc>
          <w:tcPr>
            <w:tcW w:w="738" w:type="dxa"/>
            <w:vAlign w:val="center"/>
          </w:tcPr>
          <w:p w14:paraId="0D5DB523">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032304E8">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216</w:t>
            </w:r>
          </w:p>
        </w:tc>
      </w:tr>
      <w:tr w14:paraId="4E8F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exact"/>
          <w:jc w:val="center"/>
        </w:trPr>
        <w:tc>
          <w:tcPr>
            <w:tcW w:w="637" w:type="dxa"/>
            <w:vAlign w:val="center"/>
          </w:tcPr>
          <w:p w14:paraId="37DA997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4</w:t>
            </w:r>
          </w:p>
        </w:tc>
        <w:tc>
          <w:tcPr>
            <w:tcW w:w="1081" w:type="dxa"/>
            <w:vAlign w:val="center"/>
          </w:tcPr>
          <w:p w14:paraId="187B4D7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第四包</w:t>
            </w:r>
          </w:p>
        </w:tc>
        <w:tc>
          <w:tcPr>
            <w:tcW w:w="1601" w:type="dxa"/>
            <w:vAlign w:val="center"/>
          </w:tcPr>
          <w:p w14:paraId="41EE90DB">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default" w:ascii="仿宋" w:hAnsi="仿宋" w:eastAsia="仿宋" w:cs="仿宋"/>
                <w:b w:val="0"/>
                <w:bCs/>
                <w:color w:val="auto"/>
                <w:sz w:val="22"/>
                <w:szCs w:val="22"/>
                <w:highlight w:val="none"/>
                <w:vertAlign w:val="baseline"/>
                <w:lang w:val="en-US" w:eastAsia="zh-CN"/>
              </w:rPr>
              <w:t>直接胆红素测定试剂盒（钒酸盐氧化法）校准品</w:t>
            </w:r>
          </w:p>
        </w:tc>
        <w:tc>
          <w:tcPr>
            <w:tcW w:w="4195" w:type="dxa"/>
            <w:vAlign w:val="center"/>
          </w:tcPr>
          <w:p w14:paraId="43984231">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1、用于试剂的定标；</w:t>
            </w:r>
          </w:p>
          <w:p w14:paraId="36E874B2">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2、配套设备：全自动生化分析仪、ADVIA2400；</w:t>
            </w:r>
          </w:p>
          <w:p w14:paraId="26C58D21">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3、符合医院检验科现室间质评标准要求，符合15189复审条件。</w:t>
            </w:r>
          </w:p>
        </w:tc>
        <w:tc>
          <w:tcPr>
            <w:tcW w:w="1424" w:type="dxa"/>
            <w:vAlign w:val="center"/>
          </w:tcPr>
          <w:p w14:paraId="61D472DA">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校准品：1×2mL</w:t>
            </w:r>
          </w:p>
        </w:tc>
        <w:tc>
          <w:tcPr>
            <w:tcW w:w="738" w:type="dxa"/>
            <w:vAlign w:val="center"/>
          </w:tcPr>
          <w:p w14:paraId="2A8CFA69">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529C0D4E">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200</w:t>
            </w:r>
          </w:p>
        </w:tc>
      </w:tr>
      <w:tr w14:paraId="3DA4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exact"/>
          <w:jc w:val="center"/>
        </w:trPr>
        <w:tc>
          <w:tcPr>
            <w:tcW w:w="637" w:type="dxa"/>
            <w:vAlign w:val="center"/>
          </w:tcPr>
          <w:p w14:paraId="43A6232B">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5</w:t>
            </w:r>
          </w:p>
        </w:tc>
        <w:tc>
          <w:tcPr>
            <w:tcW w:w="1081" w:type="dxa"/>
            <w:vAlign w:val="center"/>
          </w:tcPr>
          <w:p w14:paraId="0F9C702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第五包</w:t>
            </w:r>
          </w:p>
        </w:tc>
        <w:tc>
          <w:tcPr>
            <w:tcW w:w="1601" w:type="dxa"/>
            <w:vAlign w:val="center"/>
          </w:tcPr>
          <w:p w14:paraId="107EEF98">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default" w:ascii="仿宋" w:hAnsi="仿宋" w:eastAsia="仿宋" w:cs="仿宋"/>
                <w:b w:val="0"/>
                <w:bCs/>
                <w:color w:val="auto"/>
                <w:sz w:val="22"/>
                <w:szCs w:val="22"/>
                <w:highlight w:val="none"/>
                <w:vertAlign w:val="baseline"/>
                <w:lang w:val="en-US" w:eastAsia="zh-CN"/>
              </w:rPr>
              <w:t>总胆红素测定试剂盒（钒酸盐氧化法）校准品</w:t>
            </w:r>
          </w:p>
        </w:tc>
        <w:tc>
          <w:tcPr>
            <w:tcW w:w="4195" w:type="dxa"/>
            <w:vAlign w:val="center"/>
          </w:tcPr>
          <w:p w14:paraId="79A4083D">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1、用于试剂的定标；</w:t>
            </w:r>
          </w:p>
          <w:p w14:paraId="4D53ED43">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2、配套设备：全自动生化分析仪、ADVIA2400；</w:t>
            </w:r>
          </w:p>
          <w:p w14:paraId="50C308EA">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3、符合医院检验科现室间质评标准要求，符合15189复审条件。</w:t>
            </w:r>
          </w:p>
        </w:tc>
        <w:tc>
          <w:tcPr>
            <w:tcW w:w="1424" w:type="dxa"/>
            <w:vAlign w:val="center"/>
          </w:tcPr>
          <w:p w14:paraId="4B85683B">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校准品：1×2mL</w:t>
            </w:r>
          </w:p>
        </w:tc>
        <w:tc>
          <w:tcPr>
            <w:tcW w:w="738" w:type="dxa"/>
            <w:vAlign w:val="center"/>
          </w:tcPr>
          <w:p w14:paraId="595E33FF">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3AB4F29D">
            <w:pPr>
              <w:numPr>
                <w:ilvl w:val="0"/>
                <w:numId w:val="0"/>
              </w:numPr>
              <w:spacing w:line="240" w:lineRule="auto"/>
              <w:ind w:left="0" w:leftChars="0" w:firstLine="0" w:firstLineChars="0"/>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200</w:t>
            </w:r>
          </w:p>
        </w:tc>
      </w:tr>
      <w:tr w14:paraId="2E099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exact"/>
          <w:jc w:val="center"/>
        </w:trPr>
        <w:tc>
          <w:tcPr>
            <w:tcW w:w="637" w:type="dxa"/>
            <w:vAlign w:val="center"/>
          </w:tcPr>
          <w:p w14:paraId="0C3D2D8E">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6</w:t>
            </w:r>
          </w:p>
        </w:tc>
        <w:tc>
          <w:tcPr>
            <w:tcW w:w="1081" w:type="dxa"/>
            <w:vAlign w:val="center"/>
          </w:tcPr>
          <w:p w14:paraId="02EB249B">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第六包</w:t>
            </w:r>
          </w:p>
        </w:tc>
        <w:tc>
          <w:tcPr>
            <w:tcW w:w="1601" w:type="dxa"/>
            <w:vAlign w:val="center"/>
          </w:tcPr>
          <w:p w14:paraId="5D673ABC">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临床化学校准血清</w:t>
            </w:r>
          </w:p>
        </w:tc>
        <w:tc>
          <w:tcPr>
            <w:tcW w:w="4195" w:type="dxa"/>
            <w:vAlign w:val="center"/>
          </w:tcPr>
          <w:p w14:paraId="130EB4C0">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1、用于试剂的定标；</w:t>
            </w:r>
          </w:p>
          <w:p w14:paraId="7DDD25EA">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2、配套设备：全自动生化分析仪、ADVIA2400；</w:t>
            </w:r>
          </w:p>
          <w:p w14:paraId="2C3C990D">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3、符合医院检验科现室间质评标准要求，符合15189复审条件。</w:t>
            </w:r>
          </w:p>
        </w:tc>
        <w:tc>
          <w:tcPr>
            <w:tcW w:w="1424" w:type="dxa"/>
            <w:vAlign w:val="center"/>
          </w:tcPr>
          <w:p w14:paraId="6AD828ED">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校准品6×5mL</w:t>
            </w:r>
          </w:p>
        </w:tc>
        <w:tc>
          <w:tcPr>
            <w:tcW w:w="738" w:type="dxa"/>
            <w:vAlign w:val="center"/>
          </w:tcPr>
          <w:p w14:paraId="5E524E7D">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39D9D354">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763.2</w:t>
            </w:r>
          </w:p>
        </w:tc>
      </w:tr>
      <w:tr w14:paraId="253B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exact"/>
          <w:jc w:val="center"/>
        </w:trPr>
        <w:tc>
          <w:tcPr>
            <w:tcW w:w="637" w:type="dxa"/>
            <w:vAlign w:val="center"/>
          </w:tcPr>
          <w:p w14:paraId="47B41138">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7</w:t>
            </w:r>
          </w:p>
        </w:tc>
        <w:tc>
          <w:tcPr>
            <w:tcW w:w="1081" w:type="dxa"/>
            <w:vAlign w:val="center"/>
          </w:tcPr>
          <w:p w14:paraId="668762B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第七包</w:t>
            </w:r>
          </w:p>
        </w:tc>
        <w:tc>
          <w:tcPr>
            <w:tcW w:w="1601" w:type="dxa"/>
            <w:vAlign w:val="center"/>
          </w:tcPr>
          <w:p w14:paraId="593AF9B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特种蛋白质控品</w:t>
            </w:r>
          </w:p>
        </w:tc>
        <w:tc>
          <w:tcPr>
            <w:tcW w:w="4195" w:type="dxa"/>
            <w:vAlign w:val="center"/>
          </w:tcPr>
          <w:p w14:paraId="24B5D0FD">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1、用于试剂的定标；</w:t>
            </w:r>
          </w:p>
          <w:p w14:paraId="0E8897FF">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2、配套设备：全自动生化分析仪、ADVIA2400；</w:t>
            </w:r>
          </w:p>
          <w:p w14:paraId="170198E8">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3、符合医院检验科现室间质评标准要求，符合15189复审条件。</w:t>
            </w:r>
          </w:p>
        </w:tc>
        <w:tc>
          <w:tcPr>
            <w:tcW w:w="1424" w:type="dxa"/>
            <w:vAlign w:val="center"/>
          </w:tcPr>
          <w:p w14:paraId="2D614CA7">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1×1mL(水平1)</w:t>
            </w:r>
          </w:p>
        </w:tc>
        <w:tc>
          <w:tcPr>
            <w:tcW w:w="738" w:type="dxa"/>
            <w:vAlign w:val="center"/>
          </w:tcPr>
          <w:p w14:paraId="45CCFDAD">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551A96CB">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124.8</w:t>
            </w:r>
          </w:p>
        </w:tc>
      </w:tr>
      <w:tr w14:paraId="2B49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3" w:hRule="exact"/>
          <w:jc w:val="center"/>
        </w:trPr>
        <w:tc>
          <w:tcPr>
            <w:tcW w:w="637" w:type="dxa"/>
            <w:vAlign w:val="center"/>
          </w:tcPr>
          <w:p w14:paraId="02704B9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8</w:t>
            </w:r>
          </w:p>
        </w:tc>
        <w:tc>
          <w:tcPr>
            <w:tcW w:w="1081" w:type="dxa"/>
            <w:vAlign w:val="center"/>
          </w:tcPr>
          <w:p w14:paraId="127B4EF5">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第八包</w:t>
            </w:r>
          </w:p>
        </w:tc>
        <w:tc>
          <w:tcPr>
            <w:tcW w:w="1601" w:type="dxa"/>
            <w:vAlign w:val="center"/>
          </w:tcPr>
          <w:p w14:paraId="3CE43CE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default" w:ascii="仿宋" w:hAnsi="仿宋" w:eastAsia="仿宋" w:cs="仿宋"/>
                <w:b w:val="0"/>
                <w:bCs/>
                <w:color w:val="auto"/>
                <w:sz w:val="22"/>
                <w:szCs w:val="22"/>
                <w:highlight w:val="none"/>
                <w:vertAlign w:val="baseline"/>
                <w:lang w:val="en-US" w:eastAsia="zh-CN"/>
              </w:rPr>
              <w:t>多项生化质控品</w:t>
            </w:r>
          </w:p>
        </w:tc>
        <w:tc>
          <w:tcPr>
            <w:tcW w:w="4195" w:type="dxa"/>
            <w:vAlign w:val="center"/>
          </w:tcPr>
          <w:p w14:paraId="0D3961BD">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1、用于监测试剂结果质量控制；</w:t>
            </w:r>
          </w:p>
          <w:p w14:paraId="72A9DBDE">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2、配套设备：全自动生化分析仪、ADVIA2400；</w:t>
            </w:r>
          </w:p>
          <w:p w14:paraId="183BA69C">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3、符合医院检验科现室间质评标准要求，符合15189复审条件。</w:t>
            </w:r>
          </w:p>
        </w:tc>
        <w:tc>
          <w:tcPr>
            <w:tcW w:w="1424" w:type="dxa"/>
            <w:vAlign w:val="center"/>
          </w:tcPr>
          <w:p w14:paraId="4DF74D16">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1×5mL(水平1)</w:t>
            </w:r>
          </w:p>
        </w:tc>
        <w:tc>
          <w:tcPr>
            <w:tcW w:w="738" w:type="dxa"/>
            <w:vAlign w:val="center"/>
          </w:tcPr>
          <w:p w14:paraId="172B9FC0">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63207405">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124.8</w:t>
            </w:r>
          </w:p>
        </w:tc>
      </w:tr>
      <w:tr w14:paraId="0375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exact"/>
          <w:jc w:val="center"/>
        </w:trPr>
        <w:tc>
          <w:tcPr>
            <w:tcW w:w="637" w:type="dxa"/>
            <w:vAlign w:val="center"/>
          </w:tcPr>
          <w:p w14:paraId="0F735CE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9</w:t>
            </w:r>
          </w:p>
        </w:tc>
        <w:tc>
          <w:tcPr>
            <w:tcW w:w="1081" w:type="dxa"/>
            <w:vAlign w:val="center"/>
          </w:tcPr>
          <w:p w14:paraId="52F81A2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第九包</w:t>
            </w:r>
          </w:p>
        </w:tc>
        <w:tc>
          <w:tcPr>
            <w:tcW w:w="1601" w:type="dxa"/>
            <w:vAlign w:val="center"/>
          </w:tcPr>
          <w:p w14:paraId="2D12F16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default" w:ascii="仿宋" w:hAnsi="仿宋" w:eastAsia="仿宋" w:cs="仿宋"/>
                <w:b w:val="0"/>
                <w:bCs/>
                <w:color w:val="auto"/>
                <w:sz w:val="22"/>
                <w:szCs w:val="22"/>
                <w:highlight w:val="none"/>
                <w:vertAlign w:val="baseline"/>
                <w:lang w:val="en-US" w:eastAsia="zh-CN"/>
              </w:rPr>
              <w:t>多项生化校准品</w:t>
            </w:r>
          </w:p>
        </w:tc>
        <w:tc>
          <w:tcPr>
            <w:tcW w:w="4195" w:type="dxa"/>
            <w:vAlign w:val="center"/>
          </w:tcPr>
          <w:p w14:paraId="58891D73">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1、用于试剂的定标；</w:t>
            </w:r>
          </w:p>
          <w:p w14:paraId="4D887EB8">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2、配套设备：全自动生化分析仪、ADVIA2400；</w:t>
            </w:r>
          </w:p>
          <w:p w14:paraId="5E3AF897">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3、符合医院检验科现室间质评标准要求，符合15189复审条件。</w:t>
            </w:r>
          </w:p>
        </w:tc>
        <w:tc>
          <w:tcPr>
            <w:tcW w:w="1424" w:type="dxa"/>
            <w:vAlign w:val="center"/>
          </w:tcPr>
          <w:p w14:paraId="73354795">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1×3mL</w:t>
            </w:r>
          </w:p>
        </w:tc>
        <w:tc>
          <w:tcPr>
            <w:tcW w:w="738" w:type="dxa"/>
            <w:vAlign w:val="center"/>
          </w:tcPr>
          <w:p w14:paraId="3A4ACF85">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1043596B">
            <w:pPr>
              <w:numPr>
                <w:ilvl w:val="0"/>
                <w:numId w:val="0"/>
              </w:numPr>
              <w:spacing w:line="240" w:lineRule="auto"/>
              <w:ind w:left="0" w:leftChars="0" w:firstLine="0" w:firstLineChars="0"/>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124.8</w:t>
            </w:r>
          </w:p>
        </w:tc>
      </w:tr>
      <w:tr w14:paraId="7FE8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637" w:type="dxa"/>
            <w:vAlign w:val="center"/>
          </w:tcPr>
          <w:p w14:paraId="4E4F8EFE">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10</w:t>
            </w:r>
          </w:p>
        </w:tc>
        <w:tc>
          <w:tcPr>
            <w:tcW w:w="1081" w:type="dxa"/>
            <w:vAlign w:val="center"/>
          </w:tcPr>
          <w:p w14:paraId="6BC8B5D8">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第十包</w:t>
            </w:r>
          </w:p>
        </w:tc>
        <w:tc>
          <w:tcPr>
            <w:tcW w:w="1601" w:type="dxa"/>
            <w:vAlign w:val="center"/>
          </w:tcPr>
          <w:p w14:paraId="0FCBBCAF">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念珠菌甘露聚糖检测试剂盒（化学发光法)</w:t>
            </w:r>
          </w:p>
        </w:tc>
        <w:tc>
          <w:tcPr>
            <w:tcW w:w="4195" w:type="dxa"/>
            <w:vAlign w:val="center"/>
          </w:tcPr>
          <w:p w14:paraId="6A6B5148">
            <w:pPr>
              <w:numPr>
                <w:ilvl w:val="0"/>
                <w:numId w:val="6"/>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用于真菌念珠菌感染的早期诊断；</w:t>
            </w:r>
          </w:p>
          <w:p w14:paraId="34874D49">
            <w:pPr>
              <w:numPr>
                <w:ilvl w:val="0"/>
                <w:numId w:val="6"/>
              </w:numPr>
              <w:spacing w:line="240" w:lineRule="auto"/>
              <w:jc w:val="both"/>
              <w:rPr>
                <w:rFonts w:hint="default" w:ascii="仿宋" w:hAnsi="仿宋" w:eastAsia="仿宋" w:cs="仿宋"/>
                <w:sz w:val="22"/>
                <w:szCs w:val="22"/>
                <w:vertAlign w:val="baseline"/>
                <w:lang w:val="en-US" w:eastAsia="zh-CN"/>
              </w:rPr>
            </w:pPr>
            <w:r>
              <w:rPr>
                <w:rFonts w:hint="default" w:ascii="仿宋" w:hAnsi="仿宋" w:eastAsia="仿宋" w:cs="仿宋"/>
                <w:sz w:val="22"/>
                <w:szCs w:val="22"/>
                <w:vertAlign w:val="baseline"/>
                <w:lang w:val="en-US" w:eastAsia="zh-CN"/>
              </w:rPr>
              <w:t>用血清检测念珠菌感染，无须培养，速度快</w:t>
            </w:r>
            <w:r>
              <w:rPr>
                <w:rFonts w:hint="eastAsia" w:ascii="仿宋" w:hAnsi="仿宋" w:eastAsia="仿宋" w:cs="仿宋"/>
                <w:sz w:val="22"/>
                <w:szCs w:val="22"/>
                <w:vertAlign w:val="baseline"/>
                <w:lang w:val="en-US" w:eastAsia="zh-CN"/>
              </w:rPr>
              <w:t>。</w:t>
            </w:r>
          </w:p>
        </w:tc>
        <w:tc>
          <w:tcPr>
            <w:tcW w:w="1424" w:type="dxa"/>
            <w:vAlign w:val="center"/>
          </w:tcPr>
          <w:p w14:paraId="5BA4E531">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100 人份/盒</w:t>
            </w:r>
          </w:p>
        </w:tc>
        <w:tc>
          <w:tcPr>
            <w:tcW w:w="738" w:type="dxa"/>
            <w:vAlign w:val="center"/>
          </w:tcPr>
          <w:p w14:paraId="57147DEE">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1972E529">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7000</w:t>
            </w:r>
          </w:p>
        </w:tc>
      </w:tr>
      <w:tr w14:paraId="3D3B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637" w:type="dxa"/>
            <w:vAlign w:val="center"/>
          </w:tcPr>
          <w:p w14:paraId="6BD39EB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11</w:t>
            </w:r>
          </w:p>
        </w:tc>
        <w:tc>
          <w:tcPr>
            <w:tcW w:w="1081" w:type="dxa"/>
            <w:vAlign w:val="center"/>
          </w:tcPr>
          <w:p w14:paraId="159089B1">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第十一包</w:t>
            </w:r>
          </w:p>
        </w:tc>
        <w:tc>
          <w:tcPr>
            <w:tcW w:w="1601" w:type="dxa"/>
            <w:vAlign w:val="center"/>
          </w:tcPr>
          <w:p w14:paraId="76BF74BB">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念珠菌甘露聚糖IgG抗体检测试剂盒（ 化学发光法）</w:t>
            </w:r>
          </w:p>
        </w:tc>
        <w:tc>
          <w:tcPr>
            <w:tcW w:w="4195" w:type="dxa"/>
            <w:vAlign w:val="center"/>
          </w:tcPr>
          <w:p w14:paraId="2CF643C2">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1、用于真菌念珠菌感染的早期诊断；</w:t>
            </w:r>
          </w:p>
          <w:p w14:paraId="19A8B9AE">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w:t>
            </w:r>
            <w:r>
              <w:rPr>
                <w:rFonts w:hint="default" w:ascii="仿宋" w:hAnsi="仿宋" w:eastAsia="仿宋" w:cs="仿宋"/>
                <w:sz w:val="22"/>
                <w:szCs w:val="22"/>
                <w:vertAlign w:val="baseline"/>
                <w:lang w:val="en-US" w:eastAsia="zh-CN"/>
              </w:rPr>
              <w:t>用血清检测念珠菌感染，无须培养，速度快</w:t>
            </w:r>
            <w:r>
              <w:rPr>
                <w:rFonts w:hint="eastAsia" w:ascii="仿宋" w:hAnsi="仿宋" w:eastAsia="仿宋" w:cs="仿宋"/>
                <w:sz w:val="22"/>
                <w:szCs w:val="22"/>
                <w:vertAlign w:val="baseline"/>
                <w:lang w:val="en-US" w:eastAsia="zh-CN"/>
              </w:rPr>
              <w:t>。</w:t>
            </w:r>
          </w:p>
        </w:tc>
        <w:tc>
          <w:tcPr>
            <w:tcW w:w="1424" w:type="dxa"/>
            <w:vAlign w:val="center"/>
          </w:tcPr>
          <w:p w14:paraId="7F060810">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100 人份/盒</w:t>
            </w:r>
          </w:p>
        </w:tc>
        <w:tc>
          <w:tcPr>
            <w:tcW w:w="738" w:type="dxa"/>
            <w:vAlign w:val="center"/>
          </w:tcPr>
          <w:p w14:paraId="7CE07A63">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3ADF8E25">
            <w:pPr>
              <w:numPr>
                <w:ilvl w:val="0"/>
                <w:numId w:val="0"/>
              </w:numPr>
              <w:spacing w:line="240" w:lineRule="auto"/>
              <w:ind w:left="0" w:leftChars="0" w:firstLine="0" w:firstLineChars="0"/>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7000</w:t>
            </w:r>
          </w:p>
        </w:tc>
      </w:tr>
      <w:tr w14:paraId="655B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exact"/>
          <w:jc w:val="center"/>
        </w:trPr>
        <w:tc>
          <w:tcPr>
            <w:tcW w:w="637" w:type="dxa"/>
            <w:vAlign w:val="center"/>
          </w:tcPr>
          <w:p w14:paraId="6530D289">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12</w:t>
            </w:r>
          </w:p>
        </w:tc>
        <w:tc>
          <w:tcPr>
            <w:tcW w:w="1081" w:type="dxa"/>
            <w:vAlign w:val="center"/>
          </w:tcPr>
          <w:p w14:paraId="1E91AE05">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第十二包</w:t>
            </w:r>
          </w:p>
        </w:tc>
        <w:tc>
          <w:tcPr>
            <w:tcW w:w="1601" w:type="dxa"/>
            <w:vAlign w:val="center"/>
          </w:tcPr>
          <w:p w14:paraId="1AE39B11">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胰岛素样生长因子结合蛋白-3检测试剂盒（电化学发光法）</w:t>
            </w:r>
          </w:p>
        </w:tc>
        <w:tc>
          <w:tcPr>
            <w:tcW w:w="4195" w:type="dxa"/>
            <w:vAlign w:val="center"/>
          </w:tcPr>
          <w:p w14:paraId="12359483">
            <w:pPr>
              <w:numPr>
                <w:ilvl w:val="0"/>
                <w:numId w:val="7"/>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用于体外定量测定人血浆与血清中胰岛素样生长因子结合蛋白-3（IGFBP-3）的含量。IGFBP-3测定旨在与其他临床和实验室检查结果一起用于生长障碍的评估；</w:t>
            </w:r>
          </w:p>
          <w:p w14:paraId="6DB72C20">
            <w:pPr>
              <w:numPr>
                <w:ilvl w:val="0"/>
                <w:numId w:val="7"/>
              </w:numPr>
              <w:spacing w:line="240" w:lineRule="auto"/>
              <w:jc w:val="both"/>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配套设备：罗氏 Cobas e801。</w:t>
            </w:r>
          </w:p>
        </w:tc>
        <w:tc>
          <w:tcPr>
            <w:tcW w:w="1424" w:type="dxa"/>
            <w:vAlign w:val="center"/>
          </w:tcPr>
          <w:p w14:paraId="622266AC">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10测试/盒</w:t>
            </w:r>
          </w:p>
        </w:tc>
        <w:tc>
          <w:tcPr>
            <w:tcW w:w="738" w:type="dxa"/>
            <w:vAlign w:val="center"/>
          </w:tcPr>
          <w:p w14:paraId="52BFAA84">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0A385693">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3150</w:t>
            </w:r>
          </w:p>
        </w:tc>
      </w:tr>
      <w:tr w14:paraId="3129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637" w:type="dxa"/>
            <w:vAlign w:val="center"/>
          </w:tcPr>
          <w:p w14:paraId="499C56D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13</w:t>
            </w:r>
          </w:p>
        </w:tc>
        <w:tc>
          <w:tcPr>
            <w:tcW w:w="1081" w:type="dxa"/>
            <w:vAlign w:val="center"/>
          </w:tcPr>
          <w:p w14:paraId="0448A521">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第十三包</w:t>
            </w:r>
          </w:p>
        </w:tc>
        <w:tc>
          <w:tcPr>
            <w:tcW w:w="1601" w:type="dxa"/>
            <w:vAlign w:val="center"/>
          </w:tcPr>
          <w:p w14:paraId="271BB918">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胰岛素样生长因子结合蛋白-3定标液</w:t>
            </w:r>
          </w:p>
        </w:tc>
        <w:tc>
          <w:tcPr>
            <w:tcW w:w="4195" w:type="dxa"/>
            <w:vAlign w:val="center"/>
          </w:tcPr>
          <w:p w14:paraId="4C070D50">
            <w:pPr>
              <w:numPr>
                <w:ilvl w:val="0"/>
                <w:numId w:val="0"/>
              </w:numPr>
              <w:spacing w:line="240" w:lineRule="auto"/>
              <w:jc w:val="both"/>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1、该产品用于体外定量测定人血清和血浆样本中的胰岛素样生长因子结合蛋白-3定量检测项目的校准；</w:t>
            </w:r>
            <w:r>
              <w:rPr>
                <w:rFonts w:hint="eastAsia" w:ascii="仿宋" w:hAnsi="仿宋" w:eastAsia="仿宋" w:cs="仿宋"/>
                <w:sz w:val="22"/>
                <w:szCs w:val="22"/>
                <w:vertAlign w:val="baseline"/>
                <w:lang w:val="en-US" w:eastAsia="zh-CN"/>
              </w:rPr>
              <w:br w:type="textWrapping"/>
            </w:r>
            <w:r>
              <w:rPr>
                <w:rFonts w:hint="eastAsia" w:ascii="仿宋" w:hAnsi="仿宋" w:eastAsia="仿宋" w:cs="仿宋"/>
                <w:sz w:val="22"/>
                <w:szCs w:val="22"/>
                <w:vertAlign w:val="baseline"/>
                <w:lang w:val="en-US" w:eastAsia="zh-CN"/>
              </w:rPr>
              <w:t>2、配套设备：罗氏 Cobas e801。</w:t>
            </w:r>
          </w:p>
        </w:tc>
        <w:tc>
          <w:tcPr>
            <w:tcW w:w="1424" w:type="dxa"/>
            <w:vAlign w:val="center"/>
          </w:tcPr>
          <w:p w14:paraId="224FADF1">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4× 1.0 mL（冻干品，复溶体积）</w:t>
            </w:r>
          </w:p>
        </w:tc>
        <w:tc>
          <w:tcPr>
            <w:tcW w:w="738" w:type="dxa"/>
            <w:vAlign w:val="center"/>
          </w:tcPr>
          <w:p w14:paraId="0669755D">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67E886E4">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1705</w:t>
            </w:r>
          </w:p>
        </w:tc>
      </w:tr>
      <w:tr w14:paraId="3C4C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637" w:type="dxa"/>
            <w:vAlign w:val="center"/>
          </w:tcPr>
          <w:p w14:paraId="065877D3">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14</w:t>
            </w:r>
          </w:p>
        </w:tc>
        <w:tc>
          <w:tcPr>
            <w:tcW w:w="1081" w:type="dxa"/>
            <w:vAlign w:val="center"/>
          </w:tcPr>
          <w:p w14:paraId="0D24A9E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第十四包</w:t>
            </w:r>
          </w:p>
        </w:tc>
        <w:tc>
          <w:tcPr>
            <w:tcW w:w="1601" w:type="dxa"/>
            <w:vAlign w:val="center"/>
          </w:tcPr>
          <w:p w14:paraId="06B9CB6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肌酸激酶-MB同工酶定标液CalSet CK-MB</w:t>
            </w:r>
          </w:p>
        </w:tc>
        <w:tc>
          <w:tcPr>
            <w:tcW w:w="4195" w:type="dxa"/>
            <w:vAlign w:val="center"/>
          </w:tcPr>
          <w:p w14:paraId="1A71CE37">
            <w:pPr>
              <w:numPr>
                <w:ilvl w:val="0"/>
                <w:numId w:val="0"/>
              </w:numPr>
              <w:spacing w:line="240" w:lineRule="auto"/>
              <w:jc w:val="both"/>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本定标液用于肌酸激酶-MB同工酶定量项目检测时的定标。</w:t>
            </w:r>
          </w:p>
        </w:tc>
        <w:tc>
          <w:tcPr>
            <w:tcW w:w="1424" w:type="dxa"/>
            <w:vAlign w:val="center"/>
          </w:tcPr>
          <w:p w14:paraId="30041114">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4 × 1.0 mL(冻干品复溶体积)</w:t>
            </w:r>
          </w:p>
        </w:tc>
        <w:tc>
          <w:tcPr>
            <w:tcW w:w="738" w:type="dxa"/>
            <w:vAlign w:val="center"/>
          </w:tcPr>
          <w:p w14:paraId="2CC95302">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71A65875">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1330</w:t>
            </w:r>
          </w:p>
        </w:tc>
      </w:tr>
      <w:tr w14:paraId="028F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637" w:type="dxa"/>
            <w:vAlign w:val="center"/>
          </w:tcPr>
          <w:p w14:paraId="68A131A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15</w:t>
            </w:r>
          </w:p>
        </w:tc>
        <w:tc>
          <w:tcPr>
            <w:tcW w:w="1081" w:type="dxa"/>
            <w:vAlign w:val="center"/>
          </w:tcPr>
          <w:p w14:paraId="4E10C54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第十五包</w:t>
            </w:r>
          </w:p>
        </w:tc>
        <w:tc>
          <w:tcPr>
            <w:tcW w:w="1601" w:type="dxa"/>
            <w:vAlign w:val="center"/>
          </w:tcPr>
          <w:p w14:paraId="22F1097F">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胃蛋白酶检测试剂盒</w:t>
            </w:r>
          </w:p>
        </w:tc>
        <w:tc>
          <w:tcPr>
            <w:tcW w:w="4195" w:type="dxa"/>
            <w:vAlign w:val="center"/>
          </w:tcPr>
          <w:p w14:paraId="0B8A5EDF">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用于体外定性检测人体唾液样本中胃蛋白酶活性。临床上可用于胃食管及咽喉反流相关疾病的辅助诊断。</w:t>
            </w:r>
          </w:p>
        </w:tc>
        <w:tc>
          <w:tcPr>
            <w:tcW w:w="1424" w:type="dxa"/>
            <w:vAlign w:val="center"/>
          </w:tcPr>
          <w:p w14:paraId="5F7A8171">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50人份/盒</w:t>
            </w:r>
          </w:p>
        </w:tc>
        <w:tc>
          <w:tcPr>
            <w:tcW w:w="738" w:type="dxa"/>
            <w:vAlign w:val="center"/>
          </w:tcPr>
          <w:p w14:paraId="43469A29">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人份</w:t>
            </w:r>
          </w:p>
        </w:tc>
        <w:tc>
          <w:tcPr>
            <w:tcW w:w="1207" w:type="dxa"/>
            <w:vAlign w:val="center"/>
          </w:tcPr>
          <w:p w14:paraId="5BC19A7A">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228</w:t>
            </w:r>
          </w:p>
        </w:tc>
      </w:tr>
      <w:tr w14:paraId="23BB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637" w:type="dxa"/>
            <w:vAlign w:val="center"/>
          </w:tcPr>
          <w:p w14:paraId="4769E9C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16</w:t>
            </w:r>
          </w:p>
        </w:tc>
        <w:tc>
          <w:tcPr>
            <w:tcW w:w="1081" w:type="dxa"/>
            <w:vAlign w:val="center"/>
          </w:tcPr>
          <w:p w14:paraId="210C1B1B">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第十六包</w:t>
            </w:r>
          </w:p>
        </w:tc>
        <w:tc>
          <w:tcPr>
            <w:tcW w:w="1601" w:type="dxa"/>
            <w:vAlign w:val="center"/>
          </w:tcPr>
          <w:p w14:paraId="7BFB5459">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样本稀释液Elecsys Progesterone Diluent</w:t>
            </w:r>
          </w:p>
        </w:tc>
        <w:tc>
          <w:tcPr>
            <w:tcW w:w="4195" w:type="dxa"/>
            <w:vAlign w:val="center"/>
          </w:tcPr>
          <w:p w14:paraId="71279317">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适用于稀释血浆后的孕酮检测</w:t>
            </w:r>
          </w:p>
        </w:tc>
        <w:tc>
          <w:tcPr>
            <w:tcW w:w="1424" w:type="dxa"/>
            <w:vAlign w:val="center"/>
          </w:tcPr>
          <w:p w14:paraId="4B016CD8">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2*22ml</w:t>
            </w:r>
          </w:p>
        </w:tc>
        <w:tc>
          <w:tcPr>
            <w:tcW w:w="738" w:type="dxa"/>
            <w:vAlign w:val="center"/>
          </w:tcPr>
          <w:p w14:paraId="67F289C5">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00D5D4F9">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1140</w:t>
            </w:r>
          </w:p>
        </w:tc>
      </w:tr>
      <w:tr w14:paraId="565C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637" w:type="dxa"/>
            <w:vAlign w:val="center"/>
          </w:tcPr>
          <w:p w14:paraId="57DE39E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17</w:t>
            </w:r>
          </w:p>
        </w:tc>
        <w:tc>
          <w:tcPr>
            <w:tcW w:w="1081" w:type="dxa"/>
            <w:vAlign w:val="center"/>
          </w:tcPr>
          <w:p w14:paraId="5A4FA48B">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第十七包</w:t>
            </w:r>
          </w:p>
        </w:tc>
        <w:tc>
          <w:tcPr>
            <w:tcW w:w="1601" w:type="dxa"/>
            <w:vAlign w:val="center"/>
          </w:tcPr>
          <w:p w14:paraId="7307D761">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样本稀释液</w:t>
            </w:r>
            <w:r>
              <w:rPr>
                <w:rFonts w:hint="default" w:ascii="仿宋" w:hAnsi="仿宋" w:eastAsia="仿宋" w:cs="仿宋"/>
                <w:b w:val="0"/>
                <w:bCs/>
                <w:color w:val="auto"/>
                <w:sz w:val="22"/>
                <w:szCs w:val="22"/>
                <w:highlight w:val="none"/>
                <w:vertAlign w:val="baseline"/>
                <w:lang w:val="en-US" w:eastAsia="zh-CN"/>
              </w:rPr>
              <w:t xml:space="preserve"> Diluent MultiAssay</w:t>
            </w:r>
          </w:p>
        </w:tc>
        <w:tc>
          <w:tcPr>
            <w:tcW w:w="4195" w:type="dxa"/>
            <w:vAlign w:val="center"/>
          </w:tcPr>
          <w:p w14:paraId="5D4BF99E">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适用于稀释血浆后的雌二醇检测</w:t>
            </w:r>
          </w:p>
        </w:tc>
        <w:tc>
          <w:tcPr>
            <w:tcW w:w="1424" w:type="dxa"/>
            <w:vAlign w:val="center"/>
          </w:tcPr>
          <w:p w14:paraId="0FD29E9F">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36ml</w:t>
            </w:r>
          </w:p>
        </w:tc>
        <w:tc>
          <w:tcPr>
            <w:tcW w:w="738" w:type="dxa"/>
            <w:vAlign w:val="center"/>
          </w:tcPr>
          <w:p w14:paraId="2B74F49C">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5CE957A4">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1331</w:t>
            </w:r>
          </w:p>
        </w:tc>
      </w:tr>
      <w:tr w14:paraId="3CF06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exact"/>
          <w:jc w:val="center"/>
        </w:trPr>
        <w:tc>
          <w:tcPr>
            <w:tcW w:w="637" w:type="dxa"/>
            <w:vAlign w:val="center"/>
          </w:tcPr>
          <w:p w14:paraId="58C713E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18</w:t>
            </w:r>
          </w:p>
        </w:tc>
        <w:tc>
          <w:tcPr>
            <w:tcW w:w="1081" w:type="dxa"/>
            <w:vAlign w:val="center"/>
          </w:tcPr>
          <w:p w14:paraId="3CAB9DF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第十八包</w:t>
            </w:r>
          </w:p>
        </w:tc>
        <w:tc>
          <w:tcPr>
            <w:tcW w:w="1601" w:type="dxa"/>
            <w:vAlign w:val="center"/>
          </w:tcPr>
          <w:p w14:paraId="3BA67039">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酵母样真菌药敏药敏卡片</w:t>
            </w:r>
          </w:p>
        </w:tc>
        <w:tc>
          <w:tcPr>
            <w:tcW w:w="4195" w:type="dxa"/>
            <w:vAlign w:val="center"/>
          </w:tcPr>
          <w:p w14:paraId="257BF629">
            <w:pPr>
              <w:numPr>
                <w:ilvl w:val="0"/>
                <w:numId w:val="8"/>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适用于酵母样真菌药敏；</w:t>
            </w:r>
          </w:p>
          <w:p w14:paraId="56649FA4">
            <w:pPr>
              <w:numPr>
                <w:ilvl w:val="0"/>
                <w:numId w:val="8"/>
              </w:numPr>
              <w:spacing w:line="240" w:lineRule="auto"/>
              <w:jc w:val="both"/>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配套设备：微生物鉴定及药敏分析系统【梅里埃】、VITEK2-Compart</w:t>
            </w:r>
          </w:p>
        </w:tc>
        <w:tc>
          <w:tcPr>
            <w:tcW w:w="1424" w:type="dxa"/>
            <w:vAlign w:val="center"/>
          </w:tcPr>
          <w:p w14:paraId="4C634A32">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20测试/盒</w:t>
            </w:r>
          </w:p>
        </w:tc>
        <w:tc>
          <w:tcPr>
            <w:tcW w:w="738" w:type="dxa"/>
            <w:vAlign w:val="center"/>
          </w:tcPr>
          <w:p w14:paraId="7A72A560">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13A9030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1100</w:t>
            </w:r>
          </w:p>
        </w:tc>
      </w:tr>
      <w:tr w14:paraId="74CF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637" w:type="dxa"/>
            <w:vAlign w:val="center"/>
          </w:tcPr>
          <w:p w14:paraId="4C28025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19</w:t>
            </w:r>
          </w:p>
        </w:tc>
        <w:tc>
          <w:tcPr>
            <w:tcW w:w="1081" w:type="dxa"/>
            <w:vAlign w:val="center"/>
          </w:tcPr>
          <w:p w14:paraId="74EDE198">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第十九包</w:t>
            </w:r>
          </w:p>
        </w:tc>
        <w:tc>
          <w:tcPr>
            <w:tcW w:w="1601" w:type="dxa"/>
            <w:vAlign w:val="center"/>
          </w:tcPr>
          <w:p w14:paraId="7B73F34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链球菌药敏卡片</w:t>
            </w:r>
          </w:p>
        </w:tc>
        <w:tc>
          <w:tcPr>
            <w:tcW w:w="4195" w:type="dxa"/>
            <w:vAlign w:val="center"/>
          </w:tcPr>
          <w:p w14:paraId="082C29D6">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1、适用于链球菌细菌药敏；</w:t>
            </w:r>
          </w:p>
          <w:p w14:paraId="4B591A30">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2、配套设备：微生物鉴定及药敏分析系统【梅里埃】、VITEK2-Compart</w:t>
            </w:r>
          </w:p>
        </w:tc>
        <w:tc>
          <w:tcPr>
            <w:tcW w:w="1424" w:type="dxa"/>
            <w:vAlign w:val="center"/>
          </w:tcPr>
          <w:p w14:paraId="07465271">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20测试/盒</w:t>
            </w:r>
          </w:p>
        </w:tc>
        <w:tc>
          <w:tcPr>
            <w:tcW w:w="738" w:type="dxa"/>
            <w:vAlign w:val="center"/>
          </w:tcPr>
          <w:p w14:paraId="2602D18E">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6FAEC97C">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1200</w:t>
            </w:r>
          </w:p>
        </w:tc>
      </w:tr>
      <w:tr w14:paraId="3E096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637" w:type="dxa"/>
            <w:vAlign w:val="center"/>
          </w:tcPr>
          <w:p w14:paraId="2546CB7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20</w:t>
            </w:r>
          </w:p>
        </w:tc>
        <w:tc>
          <w:tcPr>
            <w:tcW w:w="1081" w:type="dxa"/>
            <w:vAlign w:val="center"/>
          </w:tcPr>
          <w:p w14:paraId="1D12DD4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第二十包</w:t>
            </w:r>
          </w:p>
        </w:tc>
        <w:tc>
          <w:tcPr>
            <w:tcW w:w="1601" w:type="dxa"/>
            <w:vAlign w:val="center"/>
          </w:tcPr>
          <w:p w14:paraId="13DCDDF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孵育油</w:t>
            </w:r>
          </w:p>
        </w:tc>
        <w:tc>
          <w:tcPr>
            <w:tcW w:w="4195" w:type="dxa"/>
            <w:vAlign w:val="center"/>
          </w:tcPr>
          <w:p w14:paraId="76F9E1D6">
            <w:pPr>
              <w:numPr>
                <w:ilvl w:val="0"/>
                <w:numId w:val="9"/>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保证反应体系温度稳定；</w:t>
            </w:r>
          </w:p>
          <w:p w14:paraId="12B63781">
            <w:pPr>
              <w:numPr>
                <w:ilvl w:val="0"/>
                <w:numId w:val="9"/>
              </w:numPr>
              <w:spacing w:line="240" w:lineRule="auto"/>
              <w:jc w:val="both"/>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配套设备：全自动生化分析仪、ADVIA2400。</w:t>
            </w:r>
          </w:p>
        </w:tc>
        <w:tc>
          <w:tcPr>
            <w:tcW w:w="1424" w:type="dxa"/>
            <w:vAlign w:val="center"/>
          </w:tcPr>
          <w:p w14:paraId="203C6A1A">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5kg</w:t>
            </w:r>
          </w:p>
        </w:tc>
        <w:tc>
          <w:tcPr>
            <w:tcW w:w="738" w:type="dxa"/>
            <w:vAlign w:val="center"/>
          </w:tcPr>
          <w:p w14:paraId="7311C243">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桶</w:t>
            </w:r>
          </w:p>
        </w:tc>
        <w:tc>
          <w:tcPr>
            <w:tcW w:w="1207" w:type="dxa"/>
            <w:vAlign w:val="center"/>
          </w:tcPr>
          <w:p w14:paraId="7E4DD0A6">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25000</w:t>
            </w:r>
          </w:p>
        </w:tc>
      </w:tr>
      <w:tr w14:paraId="36CC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637" w:type="dxa"/>
            <w:vAlign w:val="center"/>
          </w:tcPr>
          <w:p w14:paraId="0BB67059">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21</w:t>
            </w:r>
          </w:p>
        </w:tc>
        <w:tc>
          <w:tcPr>
            <w:tcW w:w="1081" w:type="dxa"/>
            <w:vAlign w:val="center"/>
          </w:tcPr>
          <w:p w14:paraId="15A35DF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第二十一包</w:t>
            </w:r>
          </w:p>
        </w:tc>
        <w:tc>
          <w:tcPr>
            <w:tcW w:w="1601" w:type="dxa"/>
            <w:vAlign w:val="center"/>
          </w:tcPr>
          <w:p w14:paraId="74B649A8">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一次性使用双极电凝镊</w:t>
            </w:r>
          </w:p>
        </w:tc>
        <w:tc>
          <w:tcPr>
            <w:tcW w:w="4195" w:type="dxa"/>
            <w:vAlign w:val="center"/>
          </w:tcPr>
          <w:p w14:paraId="7666C968">
            <w:pPr>
              <w:numPr>
                <w:ilvl w:val="0"/>
                <w:numId w:val="0"/>
              </w:numPr>
              <w:spacing w:line="240" w:lineRule="auto"/>
              <w:jc w:val="both"/>
              <w:rPr>
                <w:rFonts w:hint="default"/>
                <w:vertAlign w:val="baseline"/>
                <w:lang w:val="en-US" w:eastAsia="zh-CN"/>
              </w:rPr>
            </w:pPr>
            <w:r>
              <w:rPr>
                <w:rFonts w:hint="eastAsia" w:ascii="仿宋" w:hAnsi="仿宋" w:eastAsia="仿宋" w:cs="仿宋"/>
                <w:sz w:val="22"/>
                <w:szCs w:val="22"/>
                <w:vertAlign w:val="baseline"/>
                <w:lang w:val="en-US" w:eastAsia="zh-CN"/>
              </w:rPr>
              <w:t>与高频设备配套使用，供临床乳腺外科、神经外科等手术止血</w:t>
            </w:r>
          </w:p>
        </w:tc>
        <w:tc>
          <w:tcPr>
            <w:tcW w:w="1424" w:type="dxa"/>
            <w:vAlign w:val="center"/>
          </w:tcPr>
          <w:p w14:paraId="5737F9A0">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w:t>
            </w:r>
          </w:p>
        </w:tc>
        <w:tc>
          <w:tcPr>
            <w:tcW w:w="738" w:type="dxa"/>
            <w:vAlign w:val="center"/>
          </w:tcPr>
          <w:p w14:paraId="62E3E8BC">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把</w:t>
            </w:r>
          </w:p>
        </w:tc>
        <w:tc>
          <w:tcPr>
            <w:tcW w:w="1207" w:type="dxa"/>
            <w:vAlign w:val="center"/>
          </w:tcPr>
          <w:p w14:paraId="7219174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800</w:t>
            </w:r>
          </w:p>
        </w:tc>
      </w:tr>
      <w:tr w14:paraId="0D97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4" w:hRule="exact"/>
          <w:jc w:val="center"/>
        </w:trPr>
        <w:tc>
          <w:tcPr>
            <w:tcW w:w="637" w:type="dxa"/>
            <w:vAlign w:val="center"/>
          </w:tcPr>
          <w:p w14:paraId="416337F5">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22</w:t>
            </w:r>
          </w:p>
        </w:tc>
        <w:tc>
          <w:tcPr>
            <w:tcW w:w="1081" w:type="dxa"/>
            <w:vAlign w:val="center"/>
          </w:tcPr>
          <w:p w14:paraId="20CAEA05">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第二十二包</w:t>
            </w:r>
          </w:p>
        </w:tc>
        <w:tc>
          <w:tcPr>
            <w:tcW w:w="1601" w:type="dxa"/>
            <w:vAlign w:val="center"/>
          </w:tcPr>
          <w:p w14:paraId="0BC8E39F">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经皮氧分压测量仪的混合校准气体</w:t>
            </w:r>
          </w:p>
        </w:tc>
        <w:tc>
          <w:tcPr>
            <w:tcW w:w="4195" w:type="dxa"/>
            <w:vAlign w:val="center"/>
          </w:tcPr>
          <w:p w14:paraId="56AA0135">
            <w:pPr>
              <w:numPr>
                <w:ilvl w:val="0"/>
                <w:numId w:val="1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无创测量患者皮肤组织的微小血管灌注，并可在测量时对测量处皮肤进行温度调节，以测量不同温度时皮肤组织微小血管的灌注情况，可无创测量经皮氧分压、经皮二氧化碳分压；</w:t>
            </w:r>
          </w:p>
          <w:p w14:paraId="3C004FF3">
            <w:pPr>
              <w:numPr>
                <w:ilvl w:val="0"/>
                <w:numId w:val="10"/>
              </w:numPr>
              <w:spacing w:line="240" w:lineRule="auto"/>
              <w:jc w:val="both"/>
              <w:rPr>
                <w:rFonts w:hint="eastAsia"/>
                <w:lang w:val="en-US" w:eastAsia="zh-CN"/>
              </w:rPr>
            </w:pPr>
            <w:r>
              <w:rPr>
                <w:rFonts w:hint="eastAsia" w:ascii="仿宋" w:hAnsi="仿宋" w:eastAsia="仿宋" w:cs="仿宋"/>
                <w:sz w:val="22"/>
                <w:szCs w:val="22"/>
                <w:vertAlign w:val="baseline"/>
                <w:lang w:val="en-US" w:eastAsia="zh-CN"/>
              </w:rPr>
              <w:t>配套医院的经皮氧分压测量仪。</w:t>
            </w:r>
          </w:p>
        </w:tc>
        <w:tc>
          <w:tcPr>
            <w:tcW w:w="1424" w:type="dxa"/>
            <w:vAlign w:val="center"/>
          </w:tcPr>
          <w:p w14:paraId="688F9048">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4L</w:t>
            </w:r>
          </w:p>
        </w:tc>
        <w:tc>
          <w:tcPr>
            <w:tcW w:w="738" w:type="dxa"/>
            <w:vAlign w:val="center"/>
          </w:tcPr>
          <w:p w14:paraId="251967DC">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瓶</w:t>
            </w:r>
          </w:p>
        </w:tc>
        <w:tc>
          <w:tcPr>
            <w:tcW w:w="1207" w:type="dxa"/>
            <w:vAlign w:val="center"/>
          </w:tcPr>
          <w:p w14:paraId="41FA8AA6">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780</w:t>
            </w:r>
          </w:p>
        </w:tc>
      </w:tr>
      <w:tr w14:paraId="3265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4" w:hRule="exact"/>
          <w:jc w:val="center"/>
        </w:trPr>
        <w:tc>
          <w:tcPr>
            <w:tcW w:w="637" w:type="dxa"/>
            <w:vAlign w:val="center"/>
          </w:tcPr>
          <w:p w14:paraId="6A11BDD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23</w:t>
            </w:r>
          </w:p>
        </w:tc>
        <w:tc>
          <w:tcPr>
            <w:tcW w:w="1081" w:type="dxa"/>
            <w:vAlign w:val="center"/>
          </w:tcPr>
          <w:p w14:paraId="6C8F6FD8">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第二十三包</w:t>
            </w:r>
          </w:p>
        </w:tc>
        <w:tc>
          <w:tcPr>
            <w:tcW w:w="1601" w:type="dxa"/>
            <w:vAlign w:val="center"/>
          </w:tcPr>
          <w:p w14:paraId="51A7A164">
            <w:pPr>
              <w:numPr>
                <w:numId w:val="0"/>
              </w:numPr>
              <w:spacing w:line="240" w:lineRule="auto"/>
              <w:jc w:val="center"/>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针</w:t>
            </w:r>
            <w:bookmarkStart w:id="14" w:name="_GoBack"/>
            <w:bookmarkEnd w:id="14"/>
            <w:r>
              <w:rPr>
                <w:rFonts w:hint="eastAsia" w:ascii="仿宋" w:hAnsi="仿宋" w:eastAsia="仿宋" w:cs="仿宋"/>
                <w:sz w:val="22"/>
                <w:szCs w:val="22"/>
                <w:vertAlign w:val="baseline"/>
                <w:lang w:val="en-US" w:eastAsia="zh-CN"/>
              </w:rPr>
              <w:t>灸针</w:t>
            </w:r>
          </w:p>
        </w:tc>
        <w:tc>
          <w:tcPr>
            <w:tcW w:w="4195" w:type="dxa"/>
            <w:vAlign w:val="center"/>
          </w:tcPr>
          <w:p w14:paraId="44AD1912">
            <w:pPr>
              <w:numPr>
                <w:ilvl w:val="0"/>
                <w:numId w:val="11"/>
              </w:numPr>
              <w:spacing w:line="240" w:lineRule="auto"/>
              <w:jc w:val="both"/>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用于康复科诊疗工作；</w:t>
            </w:r>
          </w:p>
          <w:p w14:paraId="642164B8">
            <w:pPr>
              <w:numPr>
                <w:ilvl w:val="0"/>
                <w:numId w:val="11"/>
              </w:numPr>
              <w:spacing w:line="240" w:lineRule="auto"/>
              <w:jc w:val="both"/>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中医临床针灸疗法时使用。</w:t>
            </w:r>
          </w:p>
        </w:tc>
        <w:tc>
          <w:tcPr>
            <w:tcW w:w="1424" w:type="dxa"/>
            <w:vAlign w:val="center"/>
          </w:tcPr>
          <w:p w14:paraId="37DF485E">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0.16*7mm</w:t>
            </w:r>
          </w:p>
          <w:p w14:paraId="15CDC53A">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0.16*13mm</w:t>
            </w:r>
          </w:p>
        </w:tc>
        <w:tc>
          <w:tcPr>
            <w:tcW w:w="738" w:type="dxa"/>
            <w:vAlign w:val="center"/>
          </w:tcPr>
          <w:p w14:paraId="3DC3C3AA">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根</w:t>
            </w:r>
          </w:p>
        </w:tc>
        <w:tc>
          <w:tcPr>
            <w:tcW w:w="1207" w:type="dxa"/>
            <w:vAlign w:val="center"/>
          </w:tcPr>
          <w:p w14:paraId="3BB2F96C">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0.6</w:t>
            </w:r>
          </w:p>
        </w:tc>
      </w:tr>
    </w:tbl>
    <w:p w14:paraId="5E68EDC8">
      <w:pPr>
        <w:widowControl w:val="0"/>
        <w:numPr>
          <w:ilvl w:val="0"/>
          <w:numId w:val="0"/>
        </w:numPr>
        <w:spacing w:line="360" w:lineRule="auto"/>
        <w:ind w:leftChars="0"/>
        <w:jc w:val="both"/>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4、其他要求</w:t>
      </w:r>
    </w:p>
    <w:p w14:paraId="3D57EDE3">
      <w:pPr>
        <w:widowControl w:val="0"/>
        <w:numPr>
          <w:ilvl w:val="0"/>
          <w:numId w:val="0"/>
        </w:numPr>
        <w:spacing w:line="360" w:lineRule="auto"/>
        <w:ind w:leftChars="0"/>
        <w:jc w:val="both"/>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（1）本次遴选耗材根据医院耗材管理相关要求，成交后暂时进入医院医用耗材短期目录，服务期最长为一年；</w:t>
      </w:r>
    </w:p>
    <w:p w14:paraId="23B3CF95">
      <w:pPr>
        <w:widowControl w:val="0"/>
        <w:numPr>
          <w:ilvl w:val="0"/>
          <w:numId w:val="0"/>
        </w:numPr>
        <w:spacing w:line="360" w:lineRule="auto"/>
        <w:ind w:leftChars="0"/>
        <w:jc w:val="both"/>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（2）遴选现场，供应商须携带样品；</w:t>
      </w:r>
    </w:p>
    <w:p w14:paraId="3FEFA951">
      <w:pPr>
        <w:widowControl w:val="0"/>
        <w:numPr>
          <w:ilvl w:val="0"/>
          <w:numId w:val="0"/>
        </w:numPr>
        <w:spacing w:line="360" w:lineRule="auto"/>
        <w:ind w:leftChars="0"/>
        <w:jc w:val="both"/>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（3）所投产品为医疗器械及医用耗材的，应为“山东省药品和医用耗材招采管理子系统”内品种，具有配送权，且具有国家医保编码（提供截图及承诺书，格式自拟）；</w:t>
      </w:r>
    </w:p>
    <w:p w14:paraId="4F99937A">
      <w:pPr>
        <w:widowControl w:val="0"/>
        <w:numPr>
          <w:ilvl w:val="0"/>
          <w:numId w:val="0"/>
        </w:numPr>
        <w:spacing w:line="360" w:lineRule="auto"/>
        <w:ind w:leftChars="0"/>
        <w:jc w:val="both"/>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（4）成交供应商无条件配合采购人实施物资供应链管理（SPD）项目，做好对试剂耗材的精细化管理；</w:t>
      </w:r>
    </w:p>
    <w:p w14:paraId="06CF543E">
      <w:pPr>
        <w:widowControl w:val="0"/>
        <w:numPr>
          <w:ilvl w:val="0"/>
          <w:numId w:val="0"/>
        </w:numPr>
        <w:spacing w:line="360" w:lineRule="auto"/>
        <w:ind w:leftChars="0"/>
        <w:jc w:val="both"/>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（5）未尽事宜以合同约定为准。</w:t>
      </w:r>
    </w:p>
    <w:p w14:paraId="6C38EA7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2DF93FE">
      <w:pPr>
        <w:pStyle w:val="2"/>
        <w:rPr>
          <w:rFonts w:hint="default" w:ascii="仿宋" w:hAnsi="仿宋" w:eastAsia="仿宋" w:cs="仿宋"/>
          <w:bCs/>
          <w:color w:val="auto"/>
          <w:sz w:val="24"/>
          <w:szCs w:val="24"/>
          <w:highlight w:val="none"/>
          <w:vertAlign w:val="baseline"/>
          <w:lang w:val="en-US" w:eastAsia="zh-CN"/>
        </w:rPr>
      </w:pPr>
    </w:p>
    <w:p w14:paraId="3882CF83">
      <w:pPr>
        <w:pStyle w:val="2"/>
        <w:rPr>
          <w:rFonts w:hint="default" w:ascii="仿宋" w:hAnsi="仿宋" w:eastAsia="仿宋" w:cs="仿宋"/>
          <w:bCs/>
          <w:color w:val="auto"/>
          <w:sz w:val="24"/>
          <w:szCs w:val="24"/>
          <w:highlight w:val="none"/>
          <w:vertAlign w:val="baseline"/>
          <w:lang w:val="en-US" w:eastAsia="zh-CN"/>
        </w:rPr>
      </w:pPr>
    </w:p>
    <w:p w14:paraId="219284BD">
      <w:pPr>
        <w:pStyle w:val="2"/>
        <w:rPr>
          <w:rFonts w:hint="default" w:ascii="仿宋" w:hAnsi="仿宋" w:eastAsia="仿宋" w:cs="仿宋"/>
          <w:bCs/>
          <w:color w:val="auto"/>
          <w:sz w:val="24"/>
          <w:szCs w:val="24"/>
          <w:highlight w:val="none"/>
          <w:vertAlign w:val="baseline"/>
          <w:lang w:val="en-US" w:eastAsia="zh-CN"/>
        </w:rPr>
      </w:pPr>
    </w:p>
    <w:p w14:paraId="782884B9">
      <w:pPr>
        <w:pStyle w:val="2"/>
        <w:rPr>
          <w:rFonts w:hint="default" w:ascii="仿宋" w:hAnsi="仿宋" w:eastAsia="仿宋" w:cs="仿宋"/>
          <w:bCs/>
          <w:color w:val="auto"/>
          <w:sz w:val="24"/>
          <w:szCs w:val="24"/>
          <w:highlight w:val="none"/>
          <w:vertAlign w:val="baseline"/>
          <w:lang w:val="en-US" w:eastAsia="zh-CN"/>
        </w:rPr>
      </w:pPr>
    </w:p>
    <w:p w14:paraId="78162AE7">
      <w:pPr>
        <w:pStyle w:val="2"/>
        <w:rPr>
          <w:rFonts w:hint="default" w:ascii="仿宋" w:hAnsi="仿宋" w:eastAsia="仿宋" w:cs="仿宋"/>
          <w:bCs/>
          <w:color w:val="auto"/>
          <w:sz w:val="24"/>
          <w:szCs w:val="24"/>
          <w:highlight w:val="none"/>
          <w:vertAlign w:val="baseline"/>
          <w:lang w:val="en-US" w:eastAsia="zh-CN"/>
        </w:rPr>
      </w:pPr>
    </w:p>
    <w:p w14:paraId="5843688E">
      <w:pPr>
        <w:pStyle w:val="2"/>
        <w:rPr>
          <w:rFonts w:hint="default" w:ascii="仿宋" w:hAnsi="仿宋" w:eastAsia="仿宋" w:cs="仿宋"/>
          <w:bCs/>
          <w:color w:val="auto"/>
          <w:sz w:val="24"/>
          <w:szCs w:val="24"/>
          <w:highlight w:val="none"/>
          <w:vertAlign w:val="baseline"/>
          <w:lang w:val="en-US" w:eastAsia="zh-CN"/>
        </w:rPr>
      </w:pPr>
    </w:p>
    <w:p w14:paraId="24946352">
      <w:pPr>
        <w:pStyle w:val="2"/>
        <w:rPr>
          <w:rFonts w:hint="default" w:ascii="仿宋" w:hAnsi="仿宋" w:eastAsia="仿宋" w:cs="仿宋"/>
          <w:bCs/>
          <w:color w:val="auto"/>
          <w:sz w:val="24"/>
          <w:szCs w:val="24"/>
          <w:highlight w:val="none"/>
          <w:vertAlign w:val="baseline"/>
          <w:lang w:val="en-US" w:eastAsia="zh-CN"/>
        </w:rPr>
      </w:pPr>
    </w:p>
    <w:p w14:paraId="015B62FF">
      <w:pPr>
        <w:pStyle w:val="2"/>
        <w:rPr>
          <w:rFonts w:hint="default" w:ascii="仿宋" w:hAnsi="仿宋" w:eastAsia="仿宋" w:cs="仿宋"/>
          <w:bCs/>
          <w:color w:val="auto"/>
          <w:sz w:val="24"/>
          <w:szCs w:val="24"/>
          <w:highlight w:val="none"/>
          <w:vertAlign w:val="baseline"/>
          <w:lang w:val="en-US" w:eastAsia="zh-CN"/>
        </w:rPr>
      </w:pPr>
    </w:p>
    <w:p w14:paraId="21D8BA56">
      <w:pPr>
        <w:pStyle w:val="2"/>
        <w:rPr>
          <w:rFonts w:hint="default" w:ascii="仿宋" w:hAnsi="仿宋" w:eastAsia="仿宋" w:cs="仿宋"/>
          <w:bCs/>
          <w:color w:val="auto"/>
          <w:sz w:val="24"/>
          <w:szCs w:val="24"/>
          <w:highlight w:val="none"/>
          <w:vertAlign w:val="baseline"/>
          <w:lang w:val="en-US" w:eastAsia="zh-CN"/>
        </w:rPr>
      </w:pPr>
    </w:p>
    <w:p w14:paraId="77780A4C">
      <w:pPr>
        <w:pStyle w:val="2"/>
        <w:rPr>
          <w:rFonts w:hint="default" w:ascii="仿宋" w:hAnsi="仿宋" w:eastAsia="仿宋" w:cs="仿宋"/>
          <w:bCs/>
          <w:color w:val="auto"/>
          <w:sz w:val="24"/>
          <w:szCs w:val="24"/>
          <w:highlight w:val="none"/>
          <w:vertAlign w:val="baseline"/>
          <w:lang w:val="en-US" w:eastAsia="zh-CN"/>
        </w:rPr>
      </w:pPr>
    </w:p>
    <w:p w14:paraId="5AC64E9A">
      <w:pPr>
        <w:pStyle w:val="2"/>
        <w:rPr>
          <w:rFonts w:hint="default" w:ascii="仿宋" w:hAnsi="仿宋" w:eastAsia="仿宋" w:cs="仿宋"/>
          <w:bCs/>
          <w:color w:val="auto"/>
          <w:sz w:val="24"/>
          <w:szCs w:val="24"/>
          <w:highlight w:val="none"/>
          <w:vertAlign w:val="baseline"/>
          <w:lang w:val="en-US" w:eastAsia="zh-CN"/>
        </w:rPr>
      </w:pPr>
    </w:p>
    <w:p w14:paraId="11A1FF18">
      <w:pPr>
        <w:pStyle w:val="2"/>
        <w:rPr>
          <w:rFonts w:hint="default" w:ascii="仿宋" w:hAnsi="仿宋" w:eastAsia="仿宋" w:cs="仿宋"/>
          <w:bCs/>
          <w:color w:val="auto"/>
          <w:sz w:val="24"/>
          <w:szCs w:val="24"/>
          <w:highlight w:val="none"/>
          <w:vertAlign w:val="baseline"/>
          <w:lang w:val="en-US" w:eastAsia="zh-CN"/>
        </w:rPr>
      </w:pPr>
    </w:p>
    <w:p w14:paraId="0E689025">
      <w:pPr>
        <w:pStyle w:val="2"/>
        <w:rPr>
          <w:rFonts w:hint="default" w:ascii="仿宋" w:hAnsi="仿宋" w:eastAsia="仿宋" w:cs="仿宋"/>
          <w:bCs/>
          <w:color w:val="auto"/>
          <w:sz w:val="24"/>
          <w:szCs w:val="24"/>
          <w:highlight w:val="none"/>
          <w:vertAlign w:val="baseline"/>
          <w:lang w:val="en-US" w:eastAsia="zh-CN"/>
        </w:rPr>
      </w:pPr>
    </w:p>
    <w:p w14:paraId="621EE870">
      <w:pPr>
        <w:pStyle w:val="2"/>
        <w:rPr>
          <w:rFonts w:hint="default" w:ascii="仿宋" w:hAnsi="仿宋" w:eastAsia="仿宋" w:cs="仿宋"/>
          <w:bCs/>
          <w:color w:val="auto"/>
          <w:sz w:val="24"/>
          <w:szCs w:val="24"/>
          <w:highlight w:val="none"/>
          <w:vertAlign w:val="baseline"/>
          <w:lang w:val="en-US" w:eastAsia="zh-CN"/>
        </w:rPr>
      </w:pPr>
    </w:p>
    <w:p w14:paraId="789B2FA5">
      <w:pPr>
        <w:pStyle w:val="2"/>
        <w:rPr>
          <w:rFonts w:hint="default" w:ascii="仿宋" w:hAnsi="仿宋" w:eastAsia="仿宋" w:cs="仿宋"/>
          <w:bCs/>
          <w:color w:val="auto"/>
          <w:sz w:val="24"/>
          <w:szCs w:val="24"/>
          <w:highlight w:val="none"/>
          <w:vertAlign w:val="baseline"/>
          <w:lang w:val="en-US" w:eastAsia="zh-CN"/>
        </w:rPr>
      </w:pPr>
    </w:p>
    <w:p w14:paraId="31C9035F">
      <w:pPr>
        <w:pStyle w:val="2"/>
        <w:rPr>
          <w:rFonts w:hint="default" w:ascii="仿宋" w:hAnsi="仿宋" w:eastAsia="仿宋" w:cs="仿宋"/>
          <w:bCs/>
          <w:color w:val="auto"/>
          <w:sz w:val="24"/>
          <w:szCs w:val="24"/>
          <w:highlight w:val="none"/>
          <w:vertAlign w:val="baseline"/>
          <w:lang w:val="en-US" w:eastAsia="zh-CN"/>
        </w:rPr>
      </w:pPr>
    </w:p>
    <w:p w14:paraId="45EBAB15">
      <w:pPr>
        <w:pStyle w:val="2"/>
        <w:rPr>
          <w:rFonts w:hint="default" w:ascii="仿宋" w:hAnsi="仿宋" w:eastAsia="仿宋" w:cs="仿宋"/>
          <w:bCs/>
          <w:color w:val="auto"/>
          <w:sz w:val="24"/>
          <w:szCs w:val="24"/>
          <w:highlight w:val="none"/>
          <w:vertAlign w:val="baseline"/>
          <w:lang w:val="en-US" w:eastAsia="zh-CN"/>
        </w:rPr>
      </w:pPr>
    </w:p>
    <w:p w14:paraId="771B914F">
      <w:pPr>
        <w:pStyle w:val="2"/>
        <w:rPr>
          <w:rFonts w:hint="default" w:ascii="仿宋" w:hAnsi="仿宋" w:eastAsia="仿宋" w:cs="仿宋"/>
          <w:bCs/>
          <w:color w:val="auto"/>
          <w:sz w:val="24"/>
          <w:szCs w:val="24"/>
          <w:highlight w:val="none"/>
          <w:vertAlign w:val="baseline"/>
          <w:lang w:val="en-US" w:eastAsia="zh-CN"/>
        </w:rPr>
      </w:pPr>
    </w:p>
    <w:p w14:paraId="2A7269F8">
      <w:pPr>
        <w:pStyle w:val="2"/>
        <w:rPr>
          <w:rFonts w:hint="default" w:ascii="仿宋" w:hAnsi="仿宋" w:eastAsia="仿宋" w:cs="仿宋"/>
          <w:bCs/>
          <w:color w:val="auto"/>
          <w:sz w:val="24"/>
          <w:szCs w:val="24"/>
          <w:highlight w:val="none"/>
          <w:vertAlign w:val="baseline"/>
          <w:lang w:val="en-US" w:eastAsia="zh-CN"/>
        </w:rPr>
      </w:pPr>
    </w:p>
    <w:p w14:paraId="50AE7C7E">
      <w:pPr>
        <w:pStyle w:val="2"/>
        <w:rPr>
          <w:rFonts w:hint="default" w:ascii="仿宋" w:hAnsi="仿宋" w:eastAsia="仿宋" w:cs="仿宋"/>
          <w:bCs/>
          <w:color w:val="auto"/>
          <w:sz w:val="24"/>
          <w:szCs w:val="24"/>
          <w:highlight w:val="none"/>
          <w:vertAlign w:val="baseline"/>
          <w:lang w:val="en-US" w:eastAsia="zh-CN"/>
        </w:rPr>
      </w:pPr>
    </w:p>
    <w:p w14:paraId="77D2EDE9">
      <w:pPr>
        <w:pStyle w:val="2"/>
        <w:rPr>
          <w:rFonts w:hint="default" w:ascii="仿宋" w:hAnsi="仿宋" w:eastAsia="仿宋" w:cs="仿宋"/>
          <w:bCs/>
          <w:color w:val="auto"/>
          <w:sz w:val="24"/>
          <w:szCs w:val="24"/>
          <w:highlight w:val="none"/>
          <w:vertAlign w:val="baseline"/>
          <w:lang w:val="en-US" w:eastAsia="zh-CN"/>
        </w:rPr>
      </w:pPr>
    </w:p>
    <w:p w14:paraId="1D816809">
      <w:pPr>
        <w:pStyle w:val="2"/>
        <w:rPr>
          <w:rFonts w:hint="default" w:ascii="仿宋" w:hAnsi="仿宋" w:eastAsia="仿宋" w:cs="仿宋"/>
          <w:bCs/>
          <w:color w:val="auto"/>
          <w:sz w:val="24"/>
          <w:szCs w:val="24"/>
          <w:highlight w:val="none"/>
          <w:vertAlign w:val="baseline"/>
          <w:lang w:val="en-US" w:eastAsia="zh-CN"/>
        </w:rPr>
      </w:pPr>
    </w:p>
    <w:p w14:paraId="302AD7EF">
      <w:pPr>
        <w:pStyle w:val="2"/>
        <w:rPr>
          <w:rFonts w:hint="default" w:ascii="仿宋" w:hAnsi="仿宋" w:eastAsia="仿宋" w:cs="仿宋"/>
          <w:bCs/>
          <w:color w:val="auto"/>
          <w:sz w:val="24"/>
          <w:szCs w:val="24"/>
          <w:highlight w:val="none"/>
          <w:vertAlign w:val="baseline"/>
          <w:lang w:val="en-US" w:eastAsia="zh-CN"/>
        </w:rPr>
      </w:pPr>
    </w:p>
    <w:p w14:paraId="67520C66">
      <w:pPr>
        <w:pStyle w:val="2"/>
        <w:rPr>
          <w:rFonts w:hint="default" w:ascii="仿宋" w:hAnsi="仿宋" w:eastAsia="仿宋" w:cs="仿宋"/>
          <w:bCs/>
          <w:color w:val="auto"/>
          <w:sz w:val="24"/>
          <w:szCs w:val="24"/>
          <w:highlight w:val="none"/>
          <w:vertAlign w:val="baseline"/>
          <w:lang w:val="en-US" w:eastAsia="zh-CN"/>
        </w:rPr>
      </w:pPr>
    </w:p>
    <w:p w14:paraId="6090DE25">
      <w:pPr>
        <w:pStyle w:val="2"/>
        <w:rPr>
          <w:rFonts w:hint="default" w:ascii="仿宋" w:hAnsi="仿宋" w:eastAsia="仿宋" w:cs="仿宋"/>
          <w:bCs/>
          <w:color w:val="auto"/>
          <w:sz w:val="24"/>
          <w:szCs w:val="24"/>
          <w:highlight w:val="none"/>
          <w:vertAlign w:val="baseline"/>
          <w:lang w:val="en-US" w:eastAsia="zh-CN"/>
        </w:rPr>
      </w:pPr>
    </w:p>
    <w:p w14:paraId="4A098CE1">
      <w:pPr>
        <w:pStyle w:val="2"/>
        <w:rPr>
          <w:rFonts w:hint="default" w:ascii="仿宋" w:hAnsi="仿宋" w:eastAsia="仿宋" w:cs="仿宋"/>
          <w:bCs/>
          <w:color w:val="auto"/>
          <w:sz w:val="24"/>
          <w:szCs w:val="24"/>
          <w:highlight w:val="none"/>
          <w:vertAlign w:val="baseline"/>
          <w:lang w:val="en-US" w:eastAsia="zh-CN"/>
        </w:rPr>
      </w:pPr>
    </w:p>
    <w:p w14:paraId="7F8DF934">
      <w:pPr>
        <w:pStyle w:val="2"/>
        <w:rPr>
          <w:rFonts w:hint="default" w:ascii="仿宋" w:hAnsi="仿宋" w:eastAsia="仿宋" w:cs="仿宋"/>
          <w:bCs/>
          <w:color w:val="auto"/>
          <w:sz w:val="24"/>
          <w:szCs w:val="24"/>
          <w:highlight w:val="none"/>
          <w:vertAlign w:val="baseline"/>
          <w:lang w:val="en-US" w:eastAsia="zh-CN"/>
        </w:rPr>
      </w:pPr>
    </w:p>
    <w:p w14:paraId="49364ECD">
      <w:pPr>
        <w:pStyle w:val="2"/>
        <w:rPr>
          <w:rFonts w:hint="default" w:ascii="仿宋" w:hAnsi="仿宋" w:eastAsia="仿宋" w:cs="仿宋"/>
          <w:bCs/>
          <w:color w:val="auto"/>
          <w:sz w:val="24"/>
          <w:szCs w:val="24"/>
          <w:highlight w:val="none"/>
          <w:vertAlign w:val="baseline"/>
          <w:lang w:val="en-US" w:eastAsia="zh-CN"/>
        </w:rPr>
      </w:pPr>
    </w:p>
    <w:p w14:paraId="06CAB56A">
      <w:pPr>
        <w:pStyle w:val="3"/>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78ED9987">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响应供应商应仔细阅读遴选文件的所有内容，按照遴选文件的要求及格式编制响应文件，并保证其真实性，否则一切后果自负。</w:t>
      </w:r>
    </w:p>
    <w:p w14:paraId="67F1B0A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98E410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9C4874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报名遴选</w:t>
      </w:r>
      <w:r>
        <w:rPr>
          <w:rFonts w:hint="eastAsia" w:ascii="仿宋" w:hAnsi="仿宋" w:eastAsia="仿宋" w:cs="仿宋"/>
          <w:bCs/>
          <w:color w:val="auto"/>
          <w:sz w:val="24"/>
          <w:szCs w:val="24"/>
          <w:highlight w:val="none"/>
          <w:vertAlign w:val="baseline"/>
          <w:lang w:val="en-GB" w:eastAsia="zh-CN"/>
        </w:rPr>
        <w:t>的对应标的供应商；</w:t>
      </w:r>
    </w:p>
    <w:p w14:paraId="7E6E911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41FD2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7F46BA1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“意向供应商”系指响应采购人的遴选活动，按照采购人遴选文件的要求实质参与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活动，包括获取遴选文件、提交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文件、参与采购人遴选评审，意图成为采购人采购项目成交供应商的单位或个人。</w:t>
      </w:r>
    </w:p>
    <w:p w14:paraId="080FB6E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5BBF1C0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84D249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B691D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的对应标的供应商，并满足本项目供应商资格要求、能提供符合采购要求的标的并符合遴选文件规定的供应商。</w:t>
      </w:r>
    </w:p>
    <w:p w14:paraId="764829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遴选文件中带“★”条款为实质性条款，供应商必须按照遴选文件的要求做出实质性响应；</w:t>
      </w:r>
    </w:p>
    <w:p w14:paraId="29FA47A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E778C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1789AE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参与遴选活动的供应商应对遴选文件和响应文件中的商业和技术等秘密保密，违者应对由此造成的后果承担法律责任。 </w:t>
      </w:r>
    </w:p>
    <w:p w14:paraId="0940CB4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B22F7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3805A20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4A2DC3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9F411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2D8EFF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16C802D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264703A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除非有特殊要求，遴选文件不单独提供项目所在地的自然环境、气候条件、公用设施等情况，供应商被视为熟悉上述与履行合同有关的一切情况。</w:t>
      </w:r>
    </w:p>
    <w:p w14:paraId="0FF5DA6A">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采购人有权调整变更遴选文件的递交地点、截止时间、方式等。在遴选响应文件递交截止时间之前，采购人有权调整变更采购条件，有权撤销本次采购安排，采购人不向意向供应商承担任何责任。 </w:t>
      </w:r>
    </w:p>
    <w:p w14:paraId="02AC82D1">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6.5如采购人认为参与遴选的意向供应商或其响应条件均不符合采购人的采购要求，采购人有权停止本次采购，且不向意向供应商承担任何责任。</w:t>
      </w:r>
    </w:p>
    <w:p w14:paraId="226EDB9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12DD3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3"/>
        <w:numPr>
          <w:ilvl w:val="0"/>
          <w:numId w:val="2"/>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12"/>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466F5E8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358A4936">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57C62BB6">
      <w:pPr>
        <w:snapToGrid w:val="0"/>
        <w:spacing w:line="460" w:lineRule="exact"/>
        <w:jc w:val="left"/>
        <w:rPr>
          <w:rFonts w:hint="eastAsia" w:ascii="仿宋" w:hAnsi="仿宋" w:eastAsia="仿宋" w:cs="宋体"/>
          <w:color w:val="auto"/>
          <w:highlight w:val="none"/>
          <w:vertAlign w:val="baseline"/>
          <w:lang w:val="zh-CN"/>
        </w:rPr>
      </w:pPr>
    </w:p>
    <w:p w14:paraId="3121F54D">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8B6BC75">
      <w:pPr>
        <w:snapToGrid w:val="0"/>
        <w:spacing w:line="460" w:lineRule="exact"/>
        <w:jc w:val="left"/>
        <w:rPr>
          <w:rFonts w:hint="eastAsia" w:ascii="仿宋" w:hAnsi="仿宋" w:eastAsia="仿宋" w:cs="宋体"/>
          <w:color w:val="auto"/>
          <w:highlight w:val="none"/>
          <w:vertAlign w:val="baseline"/>
          <w:lang w:val="zh-CN"/>
        </w:rPr>
      </w:pPr>
    </w:p>
    <w:p w14:paraId="21AD13D4">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920C34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1197AAD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文件，同意</w:t>
      </w:r>
      <w:r>
        <w:rPr>
          <w:rFonts w:hint="eastAsia" w:ascii="仿宋" w:hAnsi="仿宋" w:eastAsia="仿宋" w:cs="宋体"/>
          <w:b/>
          <w:bCs/>
          <w:color w:val="auto"/>
          <w:highlight w:val="none"/>
          <w:vertAlign w:val="baseline"/>
          <w:lang w:val="en-US" w:eastAsia="zh-CN"/>
        </w:rPr>
        <w:t>并响应遴选</w:t>
      </w:r>
      <w:r>
        <w:rPr>
          <w:rFonts w:hint="eastAsia" w:ascii="仿宋" w:hAnsi="仿宋" w:eastAsia="仿宋" w:cs="宋体"/>
          <w:b/>
          <w:bCs/>
          <w:color w:val="auto"/>
          <w:highlight w:val="none"/>
          <w:vertAlign w:val="baseline"/>
          <w:lang w:val="zh-CN"/>
        </w:rPr>
        <w:t>文件的各项要求。</w:t>
      </w:r>
    </w:p>
    <w:p w14:paraId="615460F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422B61D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文件规定履行合同责任和义务。</w:t>
      </w:r>
    </w:p>
    <w:p w14:paraId="7A04901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3163C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21CD7F95">
      <w:pPr>
        <w:snapToGrid w:val="0"/>
        <w:spacing w:line="460" w:lineRule="exact"/>
        <w:jc w:val="left"/>
        <w:rPr>
          <w:rFonts w:hint="eastAsia" w:ascii="仿宋" w:hAnsi="仿宋" w:eastAsia="仿宋" w:cs="宋体"/>
          <w:color w:val="auto"/>
          <w:highlight w:val="none"/>
          <w:vertAlign w:val="baseline"/>
          <w:lang w:val="zh-CN"/>
        </w:rPr>
      </w:pPr>
    </w:p>
    <w:p w14:paraId="2C3A08F2">
      <w:pPr>
        <w:snapToGrid w:val="0"/>
        <w:spacing w:line="460" w:lineRule="exact"/>
        <w:jc w:val="left"/>
        <w:rPr>
          <w:rFonts w:hint="eastAsia" w:ascii="仿宋" w:hAnsi="仿宋" w:eastAsia="仿宋" w:cs="宋体"/>
          <w:color w:val="auto"/>
          <w:highlight w:val="none"/>
          <w:vertAlign w:val="baseline"/>
          <w:lang w:val="zh-CN"/>
        </w:rPr>
      </w:pPr>
    </w:p>
    <w:p w14:paraId="7135D992">
      <w:pPr>
        <w:snapToGrid w:val="0"/>
        <w:spacing w:line="460" w:lineRule="exact"/>
        <w:jc w:val="left"/>
        <w:rPr>
          <w:rFonts w:hint="eastAsia" w:ascii="仿宋" w:hAnsi="仿宋" w:eastAsia="仿宋" w:cs="宋体"/>
          <w:color w:val="auto"/>
          <w:highlight w:val="none"/>
          <w:vertAlign w:val="baseline"/>
          <w:lang w:val="zh-CN"/>
        </w:rPr>
      </w:pPr>
    </w:p>
    <w:p w14:paraId="34BEA171">
      <w:pPr>
        <w:snapToGrid w:val="0"/>
        <w:spacing w:line="460" w:lineRule="exact"/>
        <w:jc w:val="left"/>
        <w:rPr>
          <w:rFonts w:hint="eastAsia" w:ascii="仿宋" w:hAnsi="仿宋" w:eastAsia="仿宋" w:cs="宋体"/>
          <w:color w:val="auto"/>
          <w:highlight w:val="none"/>
          <w:vertAlign w:val="baseline"/>
          <w:lang w:val="zh-CN"/>
        </w:rPr>
      </w:pPr>
    </w:p>
    <w:p w14:paraId="6FFF394F">
      <w:pPr>
        <w:snapToGrid w:val="0"/>
        <w:spacing w:line="460" w:lineRule="exact"/>
        <w:jc w:val="left"/>
        <w:rPr>
          <w:rFonts w:hint="eastAsia" w:ascii="仿宋" w:hAnsi="仿宋" w:eastAsia="仿宋" w:cs="宋体"/>
          <w:color w:val="auto"/>
          <w:highlight w:val="none"/>
          <w:vertAlign w:val="baseline"/>
          <w:lang w:val="zh-CN"/>
        </w:rPr>
      </w:pPr>
    </w:p>
    <w:p w14:paraId="124CD867">
      <w:pPr>
        <w:snapToGrid w:val="0"/>
        <w:spacing w:line="460" w:lineRule="exact"/>
        <w:jc w:val="left"/>
        <w:rPr>
          <w:rFonts w:hint="eastAsia" w:ascii="仿宋" w:hAnsi="仿宋" w:eastAsia="仿宋" w:cs="宋体"/>
          <w:color w:val="auto"/>
          <w:highlight w:val="none"/>
          <w:vertAlign w:val="baseline"/>
          <w:lang w:val="zh-CN"/>
        </w:rPr>
      </w:pPr>
    </w:p>
    <w:p w14:paraId="52E5770A">
      <w:pPr>
        <w:snapToGrid w:val="0"/>
        <w:spacing w:line="460" w:lineRule="exact"/>
        <w:jc w:val="left"/>
        <w:rPr>
          <w:rFonts w:hint="eastAsia" w:ascii="仿宋" w:hAnsi="仿宋" w:eastAsia="仿宋" w:cs="宋体"/>
          <w:color w:val="auto"/>
          <w:highlight w:val="none"/>
          <w:vertAlign w:val="baseline"/>
          <w:lang w:val="zh-CN"/>
        </w:rPr>
      </w:pPr>
    </w:p>
    <w:p w14:paraId="4B796E7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590807B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A95994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15466167">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27A8177D">
      <w:pPr>
        <w:snapToGrid w:val="0"/>
        <w:spacing w:line="460" w:lineRule="exact"/>
        <w:jc w:val="left"/>
        <w:rPr>
          <w:rFonts w:hint="eastAsia" w:ascii="仿宋" w:hAnsi="仿宋" w:eastAsia="仿宋" w:cs="宋体"/>
          <w:color w:val="auto"/>
          <w:highlight w:val="none"/>
          <w:vertAlign w:val="baseline"/>
          <w:lang w:val="zh-CN"/>
        </w:rPr>
      </w:pPr>
    </w:p>
    <w:p w14:paraId="25C09A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16AF1D7">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799373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788FB82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0DDD4F8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9D86CC7">
      <w:pPr>
        <w:snapToGrid w:val="0"/>
        <w:spacing w:line="460" w:lineRule="exact"/>
        <w:jc w:val="left"/>
        <w:rPr>
          <w:rFonts w:hint="eastAsia" w:ascii="仿宋" w:hAnsi="仿宋" w:eastAsia="仿宋" w:cs="宋体"/>
          <w:color w:val="auto"/>
          <w:highlight w:val="none"/>
          <w:vertAlign w:val="baseline"/>
          <w:lang w:val="zh-CN"/>
        </w:rPr>
      </w:pPr>
    </w:p>
    <w:p w14:paraId="2BA3516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458125BF">
      <w:pPr>
        <w:snapToGrid w:val="0"/>
        <w:spacing w:line="460" w:lineRule="exact"/>
        <w:jc w:val="left"/>
        <w:rPr>
          <w:rFonts w:hint="eastAsia" w:ascii="仿宋" w:hAnsi="仿宋" w:eastAsia="仿宋" w:cs="宋体"/>
          <w:color w:val="auto"/>
          <w:highlight w:val="none"/>
          <w:vertAlign w:val="baseline"/>
          <w:lang w:val="zh-CN"/>
        </w:rPr>
      </w:pPr>
    </w:p>
    <w:p w14:paraId="69147E99">
      <w:pPr>
        <w:snapToGrid w:val="0"/>
        <w:spacing w:line="460" w:lineRule="exact"/>
        <w:jc w:val="left"/>
        <w:rPr>
          <w:rFonts w:hint="eastAsia" w:ascii="仿宋" w:hAnsi="仿宋" w:eastAsia="仿宋" w:cs="宋体"/>
          <w:color w:val="auto"/>
          <w:highlight w:val="none"/>
          <w:vertAlign w:val="baseline"/>
          <w:lang w:val="zh-CN"/>
        </w:rPr>
      </w:pPr>
    </w:p>
    <w:p w14:paraId="27A8E26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2062D6CA">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D2B0E61">
      <w:pPr>
        <w:snapToGrid w:val="0"/>
        <w:spacing w:line="460" w:lineRule="exact"/>
        <w:jc w:val="left"/>
        <w:rPr>
          <w:rFonts w:hint="eastAsia" w:ascii="仿宋" w:hAnsi="仿宋" w:eastAsia="仿宋" w:cs="宋体"/>
          <w:color w:val="auto"/>
          <w:highlight w:val="none"/>
          <w:vertAlign w:val="baseline"/>
          <w:lang w:val="zh-CN"/>
        </w:rPr>
      </w:pPr>
    </w:p>
    <w:p w14:paraId="1FFA89C6">
      <w:pPr>
        <w:snapToGrid w:val="0"/>
        <w:spacing w:line="460" w:lineRule="exact"/>
        <w:jc w:val="left"/>
        <w:rPr>
          <w:rFonts w:hint="eastAsia" w:ascii="仿宋" w:hAnsi="仿宋" w:eastAsia="仿宋" w:cs="宋体"/>
          <w:color w:val="auto"/>
          <w:highlight w:val="none"/>
          <w:vertAlign w:val="baseline"/>
          <w:lang w:val="zh-CN"/>
        </w:rPr>
      </w:pPr>
    </w:p>
    <w:p w14:paraId="675002EC">
      <w:pPr>
        <w:snapToGrid w:val="0"/>
        <w:spacing w:line="460" w:lineRule="exact"/>
        <w:jc w:val="left"/>
        <w:rPr>
          <w:rFonts w:hint="eastAsia" w:ascii="仿宋" w:hAnsi="仿宋" w:eastAsia="仿宋" w:cs="宋体"/>
          <w:color w:val="auto"/>
          <w:highlight w:val="none"/>
          <w:vertAlign w:val="baseline"/>
          <w:lang w:val="zh-CN"/>
        </w:rPr>
      </w:pPr>
    </w:p>
    <w:p w14:paraId="6C50E49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27B0ED9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0E918F96">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483C6C05">
      <w:pPr>
        <w:snapToGrid w:val="0"/>
        <w:spacing w:line="460" w:lineRule="exact"/>
        <w:jc w:val="left"/>
        <w:rPr>
          <w:rFonts w:hint="eastAsia" w:ascii="仿宋" w:hAnsi="仿宋" w:eastAsia="仿宋" w:cs="宋体"/>
          <w:color w:val="auto"/>
          <w:highlight w:val="none"/>
          <w:vertAlign w:val="baseline"/>
          <w:lang w:val="zh-CN"/>
        </w:rPr>
      </w:pPr>
    </w:p>
    <w:p w14:paraId="62DD0989">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2FE5C9CD">
      <w:pPr>
        <w:pStyle w:val="15"/>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5536569">
      <w:pPr>
        <w:pStyle w:val="15"/>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BCE6318">
      <w:pPr>
        <w:pStyle w:val="15"/>
        <w:ind w:firstLine="482"/>
        <w:rPr>
          <w:rFonts w:hint="eastAsia" w:ascii="仿宋" w:hAnsi="仿宋" w:eastAsia="仿宋"/>
          <w:b/>
          <w:bCs/>
          <w:color w:val="auto"/>
          <w:kern w:val="1"/>
          <w:sz w:val="24"/>
          <w:szCs w:val="24"/>
          <w:highlight w:val="none"/>
        </w:rPr>
      </w:pPr>
    </w:p>
    <w:p w14:paraId="1C7BBDA7">
      <w:pPr>
        <w:pStyle w:val="15"/>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7D40F09C">
      <w:pPr>
        <w:pStyle w:val="15"/>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）遴选文件，自愿参加本次遴选，现就有关事项做出郑重承诺如下：</w:t>
      </w:r>
    </w:p>
    <w:p w14:paraId="7C2904E3">
      <w:pPr>
        <w:pStyle w:val="15"/>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1000A0DD">
      <w:pPr>
        <w:pStyle w:val="15"/>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3453220F">
      <w:pPr>
        <w:pStyle w:val="15"/>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5FD9215D">
      <w:pPr>
        <w:pStyle w:val="15"/>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4BAC3D78">
      <w:pPr>
        <w:pStyle w:val="15"/>
        <w:ind w:firstLine="480"/>
        <w:rPr>
          <w:rFonts w:hint="eastAsia" w:ascii="仿宋" w:hAnsi="仿宋" w:eastAsia="仿宋"/>
          <w:color w:val="auto"/>
          <w:kern w:val="1"/>
          <w:sz w:val="24"/>
          <w:szCs w:val="24"/>
          <w:highlight w:val="none"/>
        </w:rPr>
      </w:pPr>
    </w:p>
    <w:p w14:paraId="291AF4F2">
      <w:pPr>
        <w:pStyle w:val="15"/>
        <w:ind w:firstLine="480"/>
        <w:rPr>
          <w:rFonts w:hint="eastAsia" w:ascii="仿宋" w:hAnsi="仿宋" w:eastAsia="仿宋"/>
          <w:color w:val="auto"/>
          <w:kern w:val="1"/>
          <w:sz w:val="24"/>
          <w:szCs w:val="24"/>
          <w:highlight w:val="none"/>
        </w:rPr>
      </w:pPr>
    </w:p>
    <w:p w14:paraId="584407FD">
      <w:pPr>
        <w:pStyle w:val="15"/>
        <w:ind w:firstLine="480"/>
        <w:rPr>
          <w:rFonts w:hint="eastAsia" w:ascii="仿宋" w:hAnsi="仿宋" w:eastAsia="仿宋"/>
          <w:color w:val="auto"/>
          <w:kern w:val="1"/>
          <w:sz w:val="24"/>
          <w:szCs w:val="24"/>
          <w:highlight w:val="none"/>
        </w:rPr>
      </w:pPr>
    </w:p>
    <w:p w14:paraId="4F183070">
      <w:pPr>
        <w:pStyle w:val="15"/>
        <w:ind w:firstLine="480"/>
        <w:rPr>
          <w:rStyle w:val="16"/>
          <w:rFonts w:hint="default" w:cs="仿宋"/>
          <w:color w:val="auto"/>
          <w:sz w:val="24"/>
          <w:szCs w:val="24"/>
          <w:highlight w:val="none"/>
        </w:rPr>
      </w:pPr>
      <w:r>
        <w:rPr>
          <w:rStyle w:val="16"/>
          <w:rFonts w:hint="default" w:cs="仿宋"/>
          <w:color w:val="auto"/>
          <w:sz w:val="24"/>
          <w:szCs w:val="24"/>
          <w:highlight w:val="none"/>
        </w:rPr>
        <w:t xml:space="preserve">                       投标人名称(盖公章)：</w:t>
      </w:r>
    </w:p>
    <w:p w14:paraId="7EC00E97">
      <w:pPr>
        <w:pStyle w:val="15"/>
        <w:ind w:firstLine="480"/>
        <w:rPr>
          <w:rStyle w:val="16"/>
          <w:rFonts w:hint="default" w:cs="仿宋"/>
          <w:color w:val="auto"/>
          <w:sz w:val="24"/>
          <w:szCs w:val="24"/>
          <w:highlight w:val="none"/>
        </w:rPr>
      </w:pPr>
      <w:r>
        <w:rPr>
          <w:rStyle w:val="16"/>
          <w:rFonts w:hint="default" w:cs="仿宋"/>
          <w:color w:val="auto"/>
          <w:sz w:val="24"/>
          <w:szCs w:val="24"/>
          <w:highlight w:val="none"/>
        </w:rPr>
        <w:t xml:space="preserve">                       法定代表人（签字）：</w:t>
      </w:r>
    </w:p>
    <w:p w14:paraId="35466333">
      <w:pPr>
        <w:snapToGrid w:val="0"/>
        <w:spacing w:line="460" w:lineRule="exact"/>
        <w:jc w:val="right"/>
        <w:rPr>
          <w:rStyle w:val="16"/>
          <w:rFonts w:hint="default" w:cs="仿宋"/>
          <w:color w:val="auto"/>
          <w:sz w:val="24"/>
          <w:szCs w:val="24"/>
          <w:highlight w:val="none"/>
          <w:vertAlign w:val="baseline"/>
          <w:lang w:val="en-US" w:eastAsia="zh-CN" w:bidi="ar-SA"/>
        </w:rPr>
      </w:pPr>
      <w:r>
        <w:rPr>
          <w:rStyle w:val="16"/>
          <w:rFonts w:hint="default" w:cs="仿宋"/>
          <w:color w:val="auto"/>
          <w:sz w:val="24"/>
          <w:szCs w:val="24"/>
          <w:highlight w:val="none"/>
        </w:rPr>
        <w:t xml:space="preserve">                       </w:t>
      </w:r>
      <w:r>
        <w:rPr>
          <w:rStyle w:val="16"/>
          <w:rFonts w:hint="default" w:cs="仿宋"/>
          <w:color w:val="auto"/>
          <w:sz w:val="24"/>
          <w:szCs w:val="24"/>
          <w:highlight w:val="none"/>
          <w:vertAlign w:val="baseline"/>
          <w:lang w:val="en-US" w:eastAsia="zh-CN" w:bidi="ar-SA"/>
        </w:rPr>
        <w:t xml:space="preserve">     年   月   日</w:t>
      </w:r>
    </w:p>
    <w:p w14:paraId="0553AE36">
      <w:pPr>
        <w:snapToGrid w:val="0"/>
        <w:spacing w:line="460" w:lineRule="exact"/>
        <w:jc w:val="left"/>
        <w:rPr>
          <w:rStyle w:val="16"/>
          <w:rFonts w:hint="eastAsia" w:cs="仿宋"/>
          <w:color w:val="auto"/>
          <w:sz w:val="28"/>
          <w:szCs w:val="28"/>
          <w:highlight w:val="none"/>
          <w:vertAlign w:val="baseline"/>
          <w:lang w:val="en-US" w:eastAsia="zh-CN" w:bidi="ar-SA"/>
        </w:rPr>
      </w:pPr>
    </w:p>
    <w:p w14:paraId="5A7C735D">
      <w:pPr>
        <w:snapToGrid w:val="0"/>
        <w:spacing w:line="460" w:lineRule="exact"/>
        <w:jc w:val="left"/>
        <w:rPr>
          <w:rStyle w:val="16"/>
          <w:rFonts w:hint="eastAsia" w:cs="仿宋"/>
          <w:color w:val="auto"/>
          <w:sz w:val="28"/>
          <w:szCs w:val="28"/>
          <w:highlight w:val="none"/>
          <w:vertAlign w:val="baseline"/>
          <w:lang w:val="en-US" w:eastAsia="zh-CN" w:bidi="ar-SA"/>
        </w:rPr>
      </w:pPr>
    </w:p>
    <w:p w14:paraId="296D0209">
      <w:pPr>
        <w:snapToGrid w:val="0"/>
        <w:spacing w:line="460" w:lineRule="exact"/>
        <w:jc w:val="left"/>
        <w:rPr>
          <w:rStyle w:val="16"/>
          <w:rFonts w:hint="eastAsia" w:cs="仿宋"/>
          <w:color w:val="auto"/>
          <w:sz w:val="28"/>
          <w:szCs w:val="28"/>
          <w:highlight w:val="none"/>
          <w:vertAlign w:val="baseline"/>
          <w:lang w:val="en-US" w:eastAsia="zh-CN" w:bidi="ar-SA"/>
        </w:rPr>
      </w:pPr>
    </w:p>
    <w:p w14:paraId="7D7217B8">
      <w:pPr>
        <w:snapToGrid w:val="0"/>
        <w:spacing w:line="460" w:lineRule="exact"/>
        <w:jc w:val="left"/>
        <w:rPr>
          <w:rStyle w:val="16"/>
          <w:rFonts w:hint="eastAsia" w:cs="仿宋"/>
          <w:color w:val="auto"/>
          <w:sz w:val="28"/>
          <w:szCs w:val="28"/>
          <w:highlight w:val="none"/>
          <w:vertAlign w:val="baseline"/>
          <w:lang w:val="en-US" w:eastAsia="zh-CN" w:bidi="ar-SA"/>
        </w:rPr>
      </w:pPr>
      <w:r>
        <w:rPr>
          <w:rStyle w:val="16"/>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3"/>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3"/>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12"/>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74E64020">
      <w:pPr>
        <w:rPr>
          <w:sz w:val="21"/>
          <w:szCs w:val="21"/>
          <w:vertAlign w:val="baseline"/>
        </w:rPr>
      </w:pPr>
      <w:bookmarkStart w:id="11" w:name="_Toc373936297"/>
      <w:bookmarkStart w:id="12" w:name="_Toc375576830"/>
      <w:bookmarkStart w:id="13" w:name="_Toc373954591"/>
    </w:p>
    <w:p w14:paraId="2F04A7C8">
      <w:pPr>
        <w:pStyle w:val="3"/>
        <w:spacing w:before="0" w:after="0"/>
        <w:ind w:firstLine="0" w:firstLineChars="0"/>
        <w:rPr>
          <w:rFonts w:ascii="仿宋" w:hAnsi="仿宋" w:eastAsia="仿宋"/>
          <w:color w:val="auto"/>
          <w:sz w:val="44"/>
          <w:szCs w:val="44"/>
          <w:vertAlign w:val="baseline"/>
        </w:rPr>
      </w:pPr>
      <w:r>
        <w:rPr>
          <w:rFonts w:hint="eastAsia" w:ascii="仿宋" w:hAnsi="仿宋" w:eastAsia="仿宋"/>
          <w:color w:val="auto"/>
          <w:sz w:val="44"/>
          <w:szCs w:val="44"/>
          <w:vertAlign w:val="baseline"/>
        </w:rPr>
        <w:t>青岛市妇女儿童医院采购合同</w:t>
      </w:r>
      <w:bookmarkEnd w:id="11"/>
      <w:bookmarkEnd w:id="12"/>
      <w:bookmarkEnd w:id="13"/>
    </w:p>
    <w:p w14:paraId="6148392F">
      <w:pPr>
        <w:rPr>
          <w:rFonts w:ascii="仿宋" w:hAnsi="仿宋" w:eastAsia="仿宋"/>
          <w:sz w:val="21"/>
          <w:szCs w:val="21"/>
          <w:vertAlign w:val="baseline"/>
        </w:rPr>
      </w:pPr>
    </w:p>
    <w:p w14:paraId="69B7EBFA">
      <w:pPr>
        <w:rPr>
          <w:rFonts w:ascii="仿宋" w:hAnsi="仿宋" w:eastAsia="仿宋"/>
          <w:sz w:val="21"/>
          <w:szCs w:val="21"/>
          <w:vertAlign w:val="baseline"/>
        </w:rPr>
      </w:pPr>
    </w:p>
    <w:p w14:paraId="7E0720A8">
      <w:pPr>
        <w:spacing w:line="720" w:lineRule="auto"/>
        <w:jc w:val="center"/>
        <w:rPr>
          <w:rFonts w:ascii="仿宋" w:hAnsi="仿宋" w:eastAsia="仿宋"/>
          <w:sz w:val="24"/>
          <w:szCs w:val="36"/>
          <w:vertAlign w:val="baseline"/>
        </w:rPr>
      </w:pPr>
      <w:r>
        <w:rPr>
          <w:rFonts w:hint="eastAsia" w:ascii="仿宋" w:hAnsi="仿宋" w:eastAsia="仿宋"/>
          <w:sz w:val="24"/>
          <w:szCs w:val="36"/>
          <w:vertAlign w:val="baseline"/>
        </w:rPr>
        <w:t>（耗材及试剂）</w:t>
      </w:r>
    </w:p>
    <w:p w14:paraId="6D9208BE">
      <w:pPr>
        <w:spacing w:line="720" w:lineRule="auto"/>
        <w:jc w:val="center"/>
        <w:rPr>
          <w:rFonts w:ascii="仿宋" w:hAnsi="仿宋" w:eastAsia="仿宋"/>
          <w:sz w:val="36"/>
          <w:szCs w:val="36"/>
          <w:vertAlign w:val="baseline"/>
        </w:rPr>
      </w:pPr>
    </w:p>
    <w:p w14:paraId="56C7CF8A">
      <w:pPr>
        <w:spacing w:line="720" w:lineRule="auto"/>
        <w:ind w:firstLine="843" w:firstLineChars="300"/>
        <w:rPr>
          <w:rFonts w:ascii="仿宋" w:hAnsi="仿宋" w:eastAsia="仿宋"/>
          <w:b/>
          <w:sz w:val="28"/>
          <w:szCs w:val="28"/>
          <w:vertAlign w:val="baseline"/>
        </w:rPr>
      </w:pPr>
    </w:p>
    <w:p w14:paraId="5C03A307">
      <w:pPr>
        <w:spacing w:line="720" w:lineRule="auto"/>
        <w:ind w:firstLine="843" w:firstLineChars="300"/>
        <w:rPr>
          <w:rFonts w:ascii="仿宋" w:hAnsi="仿宋" w:eastAsia="仿宋"/>
          <w:b/>
          <w:sz w:val="28"/>
          <w:szCs w:val="28"/>
          <w:u w:val="single"/>
          <w:vertAlign w:val="baseline"/>
        </w:rPr>
      </w:pPr>
      <w:r>
        <w:rPr>
          <w:rFonts w:hint="eastAsia" w:ascii="仿宋" w:hAnsi="仿宋" w:eastAsia="仿宋"/>
          <w:b/>
          <w:sz w:val="28"/>
          <w:szCs w:val="28"/>
          <w:vertAlign w:val="baseline"/>
        </w:rPr>
        <w:t>项目名称：</w:t>
      </w:r>
    </w:p>
    <w:p w14:paraId="35D396C6">
      <w:pPr>
        <w:spacing w:line="720" w:lineRule="auto"/>
        <w:ind w:firstLine="843" w:firstLineChars="300"/>
        <w:rPr>
          <w:rFonts w:ascii="仿宋" w:hAnsi="仿宋" w:eastAsia="仿宋"/>
          <w:b/>
          <w:sz w:val="28"/>
          <w:szCs w:val="28"/>
          <w:vertAlign w:val="baseline"/>
        </w:rPr>
      </w:pPr>
      <w:r>
        <w:rPr>
          <w:rFonts w:hint="eastAsia" w:ascii="仿宋" w:hAnsi="仿宋" w:eastAsia="仿宋"/>
          <w:b/>
          <w:sz w:val="28"/>
          <w:szCs w:val="28"/>
          <w:vertAlign w:val="baseline"/>
        </w:rPr>
        <w:t>项目编号：</w:t>
      </w:r>
    </w:p>
    <w:p w14:paraId="62B5DE75">
      <w:pPr>
        <w:spacing w:line="720" w:lineRule="auto"/>
        <w:ind w:firstLine="843" w:firstLineChars="300"/>
        <w:rPr>
          <w:rFonts w:ascii="仿宋" w:hAnsi="仿宋" w:eastAsia="仿宋"/>
          <w:b/>
          <w:sz w:val="28"/>
          <w:szCs w:val="28"/>
          <w:u w:val="single"/>
          <w:vertAlign w:val="baseline"/>
        </w:rPr>
      </w:pPr>
      <w:r>
        <w:rPr>
          <w:rFonts w:hint="eastAsia" w:ascii="仿宋" w:hAnsi="仿宋" w:eastAsia="仿宋"/>
          <w:b/>
          <w:sz w:val="28"/>
          <w:szCs w:val="28"/>
          <w:vertAlign w:val="baseline"/>
        </w:rPr>
        <w:t>合同编号：</w:t>
      </w:r>
    </w:p>
    <w:p w14:paraId="0C9C2DF7">
      <w:pPr>
        <w:spacing w:line="720" w:lineRule="auto"/>
        <w:ind w:firstLine="995" w:firstLineChars="354"/>
        <w:rPr>
          <w:rFonts w:ascii="仿宋" w:hAnsi="仿宋" w:eastAsia="仿宋"/>
          <w:b/>
          <w:sz w:val="28"/>
          <w:szCs w:val="28"/>
          <w:u w:val="single"/>
          <w:vertAlign w:val="baseline"/>
        </w:rPr>
      </w:pPr>
    </w:p>
    <w:p w14:paraId="22FD7236">
      <w:pPr>
        <w:pStyle w:val="2"/>
        <w:rPr>
          <w:sz w:val="21"/>
          <w:szCs w:val="21"/>
          <w:vertAlign w:val="baseline"/>
        </w:rPr>
      </w:pPr>
    </w:p>
    <w:p w14:paraId="1F5E762D">
      <w:pPr>
        <w:spacing w:line="720" w:lineRule="auto"/>
        <w:ind w:firstLine="703" w:firstLineChars="250"/>
        <w:rPr>
          <w:rFonts w:ascii="仿宋" w:hAnsi="仿宋" w:eastAsia="仿宋"/>
          <w:b/>
          <w:sz w:val="28"/>
          <w:szCs w:val="28"/>
          <w:u w:val="single"/>
          <w:vertAlign w:val="baseline"/>
        </w:rPr>
      </w:pPr>
      <w:r>
        <w:rPr>
          <w:rFonts w:hint="eastAsia" w:ascii="仿宋" w:hAnsi="仿宋" w:eastAsia="仿宋"/>
          <w:b/>
          <w:sz w:val="28"/>
          <w:szCs w:val="28"/>
          <w:vertAlign w:val="baseline"/>
        </w:rPr>
        <w:t>买方（采购单位）：</w:t>
      </w:r>
    </w:p>
    <w:p w14:paraId="0D7A7690">
      <w:pPr>
        <w:spacing w:line="720" w:lineRule="auto"/>
        <w:ind w:firstLine="703" w:firstLineChars="250"/>
        <w:rPr>
          <w:rFonts w:ascii="仿宋" w:hAnsi="仿宋" w:eastAsia="仿宋"/>
          <w:sz w:val="28"/>
          <w:szCs w:val="28"/>
          <w:u w:val="single"/>
          <w:vertAlign w:val="baseline"/>
        </w:rPr>
      </w:pPr>
      <w:r>
        <w:rPr>
          <w:rFonts w:hint="eastAsia" w:ascii="仿宋" w:hAnsi="仿宋" w:eastAsia="仿宋"/>
          <w:b/>
          <w:sz w:val="28"/>
          <w:szCs w:val="28"/>
          <w:vertAlign w:val="baseline"/>
        </w:rPr>
        <w:t>卖方（供货单位）：</w:t>
      </w:r>
    </w:p>
    <w:p w14:paraId="34750B45">
      <w:pPr>
        <w:spacing w:line="720" w:lineRule="auto"/>
        <w:ind w:firstLine="703" w:firstLineChars="250"/>
        <w:rPr>
          <w:rFonts w:hint="eastAsia" w:ascii="仿宋" w:hAnsi="仿宋" w:eastAsia="仿宋"/>
          <w:sz w:val="28"/>
          <w:szCs w:val="28"/>
          <w:u w:val="single"/>
          <w:vertAlign w:val="baseline"/>
          <w:lang w:eastAsia="zh-CN"/>
        </w:rPr>
      </w:pPr>
      <w:r>
        <w:rPr>
          <w:rFonts w:hint="eastAsia" w:ascii="仿宋" w:hAnsi="仿宋" w:eastAsia="仿宋"/>
          <w:b/>
          <w:sz w:val="28"/>
          <w:szCs w:val="28"/>
          <w:vertAlign w:val="baseline"/>
        </w:rPr>
        <w:t>日期</w:t>
      </w:r>
      <w:r>
        <w:rPr>
          <w:rFonts w:hint="eastAsia" w:ascii="仿宋" w:hAnsi="仿宋" w:eastAsia="仿宋"/>
          <w:b/>
          <w:sz w:val="28"/>
          <w:szCs w:val="28"/>
          <w:vertAlign w:val="baseline"/>
          <w:lang w:eastAsia="zh-CN"/>
        </w:rPr>
        <w:t>：</w:t>
      </w:r>
    </w:p>
    <w:p w14:paraId="273FC8E3">
      <w:pPr>
        <w:spacing w:line="520" w:lineRule="exact"/>
        <w:ind w:firstLine="444" w:firstLineChars="202"/>
        <w:jc w:val="left"/>
        <w:rPr>
          <w:rFonts w:ascii="仿宋" w:hAnsi="仿宋" w:eastAsia="仿宋"/>
          <w:sz w:val="22"/>
          <w:szCs w:val="22"/>
          <w:vertAlign w:val="baseline"/>
        </w:rPr>
      </w:pPr>
    </w:p>
    <w:p w14:paraId="6BCEDC3E">
      <w:pPr>
        <w:spacing w:line="520" w:lineRule="exact"/>
        <w:ind w:firstLine="444" w:firstLineChars="202"/>
        <w:jc w:val="left"/>
        <w:rPr>
          <w:rFonts w:ascii="仿宋" w:hAnsi="仿宋" w:eastAsia="仿宋"/>
          <w:sz w:val="22"/>
          <w:szCs w:val="22"/>
          <w:vertAlign w:val="baseline"/>
        </w:rPr>
      </w:pPr>
    </w:p>
    <w:p w14:paraId="2FE267F2">
      <w:pPr>
        <w:spacing w:line="520" w:lineRule="exact"/>
        <w:ind w:firstLine="444" w:firstLineChars="202"/>
        <w:jc w:val="left"/>
        <w:rPr>
          <w:rFonts w:ascii="仿宋" w:hAnsi="仿宋" w:eastAsia="仿宋"/>
          <w:sz w:val="22"/>
          <w:szCs w:val="22"/>
          <w:vertAlign w:val="baseline"/>
        </w:rPr>
      </w:pPr>
      <w:r>
        <w:rPr>
          <w:rFonts w:hint="eastAsia" w:ascii="仿宋" w:hAnsi="仿宋" w:eastAsia="仿宋"/>
          <w:sz w:val="22"/>
          <w:szCs w:val="22"/>
          <w:vertAlign w:val="baseline"/>
        </w:rPr>
        <w:t>经买方</w:t>
      </w:r>
      <w:r>
        <w:rPr>
          <w:rFonts w:ascii="仿宋" w:hAnsi="仿宋" w:eastAsia="仿宋"/>
          <w:sz w:val="22"/>
          <w:szCs w:val="22"/>
          <w:vertAlign w:val="baseline"/>
        </w:rPr>
        <w:t>采购流程</w:t>
      </w:r>
      <w:r>
        <w:rPr>
          <w:rFonts w:hint="eastAsia" w:ascii="仿宋" w:hAnsi="仿宋" w:eastAsia="仿宋"/>
          <w:sz w:val="22"/>
          <w:szCs w:val="22"/>
          <w:vertAlign w:val="baseline"/>
        </w:rPr>
        <w:t>，卖方</w:t>
      </w:r>
      <w:r>
        <w:rPr>
          <w:rFonts w:ascii="仿宋" w:hAnsi="仿宋" w:eastAsia="仿宋"/>
          <w:sz w:val="22"/>
          <w:szCs w:val="22"/>
          <w:vertAlign w:val="baseline"/>
        </w:rPr>
        <w:t>作为</w:t>
      </w:r>
      <w:r>
        <w:rPr>
          <w:rFonts w:hint="eastAsia" w:ascii="仿宋" w:hAnsi="仿宋" w:eastAsia="仿宋"/>
          <w:sz w:val="22"/>
          <w:szCs w:val="22"/>
          <w:vertAlign w:val="baseline"/>
        </w:rPr>
        <w:t>买方采购耗材的定点供应商，根据《中华人民共和国政府采购法》、《中华人民共和国民法典</w:t>
      </w:r>
      <w:r>
        <w:rPr>
          <w:rFonts w:ascii="仿宋" w:hAnsi="仿宋" w:eastAsia="仿宋"/>
          <w:sz w:val="22"/>
          <w:szCs w:val="22"/>
          <w:vertAlign w:val="baseline"/>
        </w:rPr>
        <w:t>》</w:t>
      </w:r>
      <w:r>
        <w:rPr>
          <w:rFonts w:hint="eastAsia" w:ascii="仿宋" w:hAnsi="仿宋" w:eastAsia="仿宋"/>
          <w:sz w:val="22"/>
          <w:szCs w:val="22"/>
          <w:vertAlign w:val="baseline"/>
        </w:rPr>
        <w:t>及有关法律、</w:t>
      </w:r>
      <w:r>
        <w:rPr>
          <w:rFonts w:ascii="仿宋" w:hAnsi="仿宋" w:eastAsia="仿宋"/>
          <w:sz w:val="22"/>
          <w:szCs w:val="22"/>
          <w:vertAlign w:val="baseline"/>
        </w:rPr>
        <w:t>法规</w:t>
      </w:r>
      <w:r>
        <w:rPr>
          <w:rFonts w:hint="eastAsia" w:ascii="仿宋" w:hAnsi="仿宋" w:eastAsia="仿宋"/>
          <w:sz w:val="22"/>
          <w:szCs w:val="22"/>
          <w:vertAlign w:val="baseline"/>
        </w:rPr>
        <w:t>，遵照公正</w:t>
      </w:r>
      <w:r>
        <w:rPr>
          <w:rFonts w:ascii="仿宋" w:hAnsi="仿宋" w:eastAsia="仿宋"/>
          <w:sz w:val="22"/>
          <w:szCs w:val="22"/>
          <w:vertAlign w:val="baseline"/>
        </w:rPr>
        <w:t>、平等、自愿、诚实信用</w:t>
      </w:r>
      <w:r>
        <w:rPr>
          <w:rFonts w:hint="eastAsia" w:ascii="仿宋" w:hAnsi="仿宋" w:eastAsia="仿宋"/>
          <w:sz w:val="22"/>
          <w:szCs w:val="22"/>
          <w:vertAlign w:val="baseline"/>
        </w:rPr>
        <w:t>的原则，双方</w:t>
      </w:r>
      <w:r>
        <w:rPr>
          <w:rFonts w:ascii="仿宋" w:hAnsi="仿宋" w:eastAsia="仿宋"/>
          <w:sz w:val="22"/>
          <w:szCs w:val="22"/>
          <w:vertAlign w:val="baseline"/>
        </w:rPr>
        <w:t>同意按照以下条款和条件签署</w:t>
      </w:r>
      <w:r>
        <w:rPr>
          <w:rFonts w:hint="eastAsia" w:ascii="仿宋" w:hAnsi="仿宋" w:eastAsia="仿宋"/>
          <w:sz w:val="22"/>
          <w:szCs w:val="22"/>
          <w:vertAlign w:val="baseline"/>
        </w:rPr>
        <w:t>本合同。</w:t>
      </w:r>
    </w:p>
    <w:p w14:paraId="0870A19A">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一、采购信息</w:t>
      </w:r>
    </w:p>
    <w:p w14:paraId="2652B363">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本合同有效期内，买方将按需向卖方发送订货单，卖方按照实际</w:t>
      </w:r>
      <w:r>
        <w:rPr>
          <w:rFonts w:ascii="仿宋" w:hAnsi="仿宋" w:eastAsia="仿宋"/>
          <w:sz w:val="22"/>
          <w:szCs w:val="22"/>
          <w:vertAlign w:val="baseline"/>
        </w:rPr>
        <w:t>采购量</w:t>
      </w:r>
      <w:r>
        <w:rPr>
          <w:rFonts w:hint="eastAsia" w:ascii="仿宋" w:hAnsi="仿宋" w:eastAsia="仿宋"/>
          <w:sz w:val="22"/>
          <w:szCs w:val="22"/>
          <w:vertAlign w:val="baseline"/>
        </w:rPr>
        <w:t>在3个</w:t>
      </w:r>
      <w:r>
        <w:rPr>
          <w:rFonts w:ascii="仿宋" w:hAnsi="仿宋" w:eastAsia="仿宋"/>
          <w:sz w:val="22"/>
          <w:szCs w:val="22"/>
          <w:vertAlign w:val="baseline"/>
        </w:rPr>
        <w:t>工作日内</w:t>
      </w:r>
      <w:r>
        <w:rPr>
          <w:rFonts w:hint="eastAsia" w:ascii="仿宋" w:hAnsi="仿宋" w:eastAsia="仿宋"/>
          <w:sz w:val="22"/>
          <w:szCs w:val="22"/>
          <w:vertAlign w:val="baseline"/>
        </w:rPr>
        <w:t>完成</w:t>
      </w:r>
      <w:r>
        <w:rPr>
          <w:rFonts w:ascii="仿宋" w:hAnsi="仿宋" w:eastAsia="仿宋"/>
          <w:sz w:val="22"/>
          <w:szCs w:val="22"/>
          <w:vertAlign w:val="baseline"/>
        </w:rPr>
        <w:t>配送</w:t>
      </w:r>
      <w:r>
        <w:rPr>
          <w:rFonts w:hint="eastAsia" w:ascii="仿宋" w:hAnsi="仿宋" w:eastAsia="仿宋"/>
          <w:sz w:val="22"/>
          <w:szCs w:val="22"/>
          <w:vertAlign w:val="baseline"/>
        </w:rPr>
        <w:t>。</w:t>
      </w:r>
      <w:r>
        <w:rPr>
          <w:rFonts w:ascii="仿宋" w:hAnsi="仿宋" w:eastAsia="仿宋"/>
          <w:sz w:val="22"/>
          <w:szCs w:val="22"/>
          <w:vertAlign w:val="baseline"/>
        </w:rPr>
        <w:t>（</w:t>
      </w:r>
      <w:r>
        <w:rPr>
          <w:rFonts w:hint="eastAsia" w:ascii="仿宋" w:hAnsi="仿宋" w:eastAsia="仿宋"/>
          <w:sz w:val="22"/>
          <w:szCs w:val="22"/>
          <w:vertAlign w:val="baseline"/>
        </w:rPr>
        <w:t>订货内容详</w:t>
      </w:r>
      <w:r>
        <w:rPr>
          <w:rFonts w:ascii="仿宋" w:hAnsi="仿宋" w:eastAsia="仿宋"/>
          <w:sz w:val="22"/>
          <w:szCs w:val="22"/>
          <w:vertAlign w:val="baseline"/>
        </w:rPr>
        <w:t>见</w:t>
      </w:r>
      <w:r>
        <w:rPr>
          <w:rFonts w:hint="eastAsia" w:ascii="仿宋" w:hAnsi="仿宋" w:eastAsia="仿宋"/>
          <w:sz w:val="22"/>
          <w:szCs w:val="22"/>
          <w:vertAlign w:val="baseline"/>
        </w:rPr>
        <w:t>下表</w:t>
      </w:r>
      <w:r>
        <w:rPr>
          <w:rFonts w:ascii="仿宋" w:hAnsi="仿宋" w:eastAsia="仿宋"/>
          <w:sz w:val="22"/>
          <w:szCs w:val="22"/>
          <w:vertAlign w:val="baseline"/>
        </w:rPr>
        <w:t>）</w:t>
      </w:r>
      <w:r>
        <w:rPr>
          <w:rFonts w:hint="eastAsia" w:ascii="仿宋" w:hAnsi="仿宋" w:eastAsia="仿宋"/>
          <w:sz w:val="22"/>
          <w:szCs w:val="22"/>
          <w:vertAlign w:val="baseline"/>
        </w:rPr>
        <w:t>。</w:t>
      </w:r>
    </w:p>
    <w:p w14:paraId="538EEDB1">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二、</w:t>
      </w:r>
      <w:r>
        <w:rPr>
          <w:rFonts w:ascii="仿宋" w:hAnsi="仿宋" w:eastAsia="仿宋"/>
          <w:sz w:val="22"/>
          <w:szCs w:val="22"/>
          <w:vertAlign w:val="baseline"/>
        </w:rPr>
        <w:t>合同</w:t>
      </w:r>
      <w:r>
        <w:rPr>
          <w:rFonts w:hint="eastAsia" w:ascii="仿宋" w:hAnsi="仿宋" w:eastAsia="仿宋"/>
          <w:sz w:val="22"/>
          <w:szCs w:val="22"/>
          <w:vertAlign w:val="baseline"/>
        </w:rPr>
        <w:t>货物和</w:t>
      </w:r>
      <w:r>
        <w:rPr>
          <w:rFonts w:ascii="仿宋" w:hAnsi="仿宋" w:eastAsia="仿宋"/>
          <w:sz w:val="22"/>
          <w:szCs w:val="22"/>
          <w:vertAlign w:val="baseline"/>
        </w:rPr>
        <w:t>价格</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5"/>
        <w:gridCol w:w="819"/>
        <w:gridCol w:w="741"/>
        <w:gridCol w:w="662"/>
        <w:gridCol w:w="937"/>
        <w:gridCol w:w="662"/>
        <w:gridCol w:w="662"/>
        <w:gridCol w:w="1003"/>
        <w:gridCol w:w="1207"/>
        <w:gridCol w:w="662"/>
        <w:gridCol w:w="662"/>
      </w:tblGrid>
      <w:tr w14:paraId="0DCB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0" w:type="auto"/>
            <w:shd w:val="clear" w:color="auto" w:fill="auto"/>
            <w:vAlign w:val="center"/>
          </w:tcPr>
          <w:p w14:paraId="45DD8726">
            <w:pPr>
              <w:widowControl/>
              <w:jc w:val="center"/>
              <w:rPr>
                <w:rFonts w:ascii="仿宋" w:hAnsi="仿宋" w:eastAsia="仿宋" w:cs="仿宋"/>
                <w:kern w:val="0"/>
                <w:sz w:val="21"/>
                <w:szCs w:val="18"/>
                <w:vertAlign w:val="baseline"/>
              </w:rPr>
            </w:pPr>
            <w:r>
              <w:rPr>
                <w:rFonts w:hint="eastAsia" w:ascii="仿宋" w:hAnsi="仿宋" w:eastAsia="仿宋" w:cs="仿宋"/>
                <w:kern w:val="0"/>
                <w:sz w:val="21"/>
                <w:szCs w:val="18"/>
                <w:vertAlign w:val="baseline"/>
              </w:rPr>
              <w:t>序号</w:t>
            </w:r>
          </w:p>
        </w:tc>
        <w:tc>
          <w:tcPr>
            <w:tcW w:w="0" w:type="auto"/>
            <w:shd w:val="clear" w:color="auto" w:fill="auto"/>
            <w:vAlign w:val="center"/>
          </w:tcPr>
          <w:p w14:paraId="18B3DF1E">
            <w:pPr>
              <w:widowControl/>
              <w:jc w:val="center"/>
              <w:rPr>
                <w:rFonts w:ascii="仿宋" w:hAnsi="仿宋" w:eastAsia="仿宋" w:cs="仿宋"/>
                <w:kern w:val="0"/>
                <w:sz w:val="21"/>
                <w:szCs w:val="18"/>
                <w:vertAlign w:val="baseline"/>
              </w:rPr>
            </w:pPr>
            <w:r>
              <w:rPr>
                <w:rFonts w:hint="eastAsia" w:ascii="仿宋" w:hAnsi="仿宋" w:eastAsia="仿宋" w:cs="仿宋"/>
                <w:kern w:val="0"/>
                <w:sz w:val="21"/>
                <w:szCs w:val="18"/>
                <w:vertAlign w:val="baseline"/>
                <w:lang w:val="en-US" w:eastAsia="zh-CN"/>
              </w:rPr>
              <w:t>耗材</w:t>
            </w:r>
            <w:r>
              <w:rPr>
                <w:rFonts w:hint="eastAsia" w:ascii="仿宋" w:hAnsi="仿宋" w:eastAsia="仿宋" w:cs="仿宋"/>
                <w:kern w:val="0"/>
                <w:sz w:val="21"/>
                <w:szCs w:val="18"/>
                <w:vertAlign w:val="baseline"/>
              </w:rPr>
              <w:t>试剂名称</w:t>
            </w:r>
          </w:p>
        </w:tc>
        <w:tc>
          <w:tcPr>
            <w:tcW w:w="0" w:type="auto"/>
            <w:shd w:val="clear" w:color="auto" w:fill="auto"/>
            <w:vAlign w:val="center"/>
          </w:tcPr>
          <w:p w14:paraId="1986F0D9">
            <w:pPr>
              <w:widowControl/>
              <w:jc w:val="center"/>
              <w:rPr>
                <w:rFonts w:hint="default" w:ascii="仿宋" w:hAnsi="仿宋" w:eastAsia="仿宋" w:cs="仿宋"/>
                <w:kern w:val="0"/>
                <w:sz w:val="21"/>
                <w:szCs w:val="18"/>
                <w:vertAlign w:val="baseline"/>
                <w:lang w:val="en-US" w:eastAsia="zh-CN"/>
              </w:rPr>
            </w:pPr>
            <w:r>
              <w:rPr>
                <w:rFonts w:hint="eastAsia" w:ascii="仿宋" w:hAnsi="仿宋" w:eastAsia="仿宋" w:cs="仿宋"/>
                <w:kern w:val="0"/>
                <w:sz w:val="21"/>
                <w:szCs w:val="18"/>
                <w:vertAlign w:val="baseline"/>
                <w:lang w:val="en-US" w:eastAsia="zh-CN"/>
              </w:rPr>
              <w:t>注册证名称</w:t>
            </w:r>
          </w:p>
        </w:tc>
        <w:tc>
          <w:tcPr>
            <w:tcW w:w="0" w:type="auto"/>
            <w:shd w:val="clear" w:color="auto" w:fill="auto"/>
            <w:vAlign w:val="center"/>
          </w:tcPr>
          <w:p w14:paraId="78EDBA7A">
            <w:pPr>
              <w:widowControl/>
              <w:jc w:val="center"/>
              <w:rPr>
                <w:rFonts w:ascii="仿宋" w:hAnsi="仿宋" w:eastAsia="仿宋" w:cs="仿宋"/>
                <w:kern w:val="0"/>
                <w:sz w:val="21"/>
                <w:szCs w:val="18"/>
                <w:vertAlign w:val="baseline"/>
              </w:rPr>
            </w:pPr>
            <w:r>
              <w:rPr>
                <w:rFonts w:hint="eastAsia" w:ascii="仿宋" w:hAnsi="仿宋" w:eastAsia="仿宋" w:cs="仿宋"/>
                <w:kern w:val="0"/>
                <w:sz w:val="21"/>
                <w:szCs w:val="18"/>
                <w:vertAlign w:val="baseline"/>
              </w:rPr>
              <w:t>生产厂家</w:t>
            </w:r>
          </w:p>
        </w:tc>
        <w:tc>
          <w:tcPr>
            <w:tcW w:w="0" w:type="auto"/>
            <w:shd w:val="clear" w:color="auto" w:fill="auto"/>
            <w:vAlign w:val="center"/>
          </w:tcPr>
          <w:p w14:paraId="60FAABC1">
            <w:pPr>
              <w:widowControl/>
              <w:jc w:val="center"/>
              <w:rPr>
                <w:rFonts w:ascii="仿宋" w:hAnsi="仿宋" w:eastAsia="仿宋" w:cs="仿宋"/>
                <w:kern w:val="0"/>
                <w:sz w:val="21"/>
                <w:szCs w:val="18"/>
                <w:vertAlign w:val="baseline"/>
              </w:rPr>
            </w:pPr>
            <w:r>
              <w:rPr>
                <w:rFonts w:hint="eastAsia" w:ascii="仿宋" w:hAnsi="仿宋" w:eastAsia="仿宋" w:cs="仿宋"/>
                <w:kern w:val="0"/>
                <w:sz w:val="21"/>
                <w:szCs w:val="18"/>
                <w:vertAlign w:val="baseline"/>
              </w:rPr>
              <w:t>注册证号/备案号</w:t>
            </w:r>
          </w:p>
        </w:tc>
        <w:tc>
          <w:tcPr>
            <w:tcW w:w="0" w:type="auto"/>
            <w:shd w:val="clear" w:color="auto" w:fill="auto"/>
            <w:vAlign w:val="center"/>
          </w:tcPr>
          <w:p w14:paraId="2642B842">
            <w:pPr>
              <w:widowControl/>
              <w:jc w:val="center"/>
              <w:rPr>
                <w:rFonts w:hint="default" w:ascii="仿宋" w:hAnsi="仿宋" w:eastAsia="仿宋" w:cs="仿宋"/>
                <w:kern w:val="0"/>
                <w:sz w:val="21"/>
                <w:szCs w:val="18"/>
                <w:vertAlign w:val="baseline"/>
                <w:lang w:val="en-US" w:eastAsia="zh-CN"/>
              </w:rPr>
            </w:pPr>
            <w:r>
              <w:rPr>
                <w:rFonts w:hint="eastAsia" w:ascii="仿宋" w:hAnsi="仿宋" w:eastAsia="仿宋" w:cs="仿宋"/>
                <w:kern w:val="0"/>
                <w:sz w:val="21"/>
                <w:szCs w:val="18"/>
                <w:vertAlign w:val="baseline"/>
                <w:lang w:val="en-US" w:eastAsia="zh-CN"/>
              </w:rPr>
              <w:t>规格型号</w:t>
            </w:r>
          </w:p>
        </w:tc>
        <w:tc>
          <w:tcPr>
            <w:tcW w:w="0" w:type="auto"/>
            <w:shd w:val="clear" w:color="auto" w:fill="auto"/>
            <w:vAlign w:val="center"/>
          </w:tcPr>
          <w:p w14:paraId="5464236C">
            <w:pPr>
              <w:widowControl/>
              <w:jc w:val="center"/>
              <w:rPr>
                <w:rFonts w:ascii="仿宋" w:hAnsi="仿宋" w:eastAsia="仿宋" w:cs="仿宋"/>
                <w:kern w:val="0"/>
                <w:sz w:val="21"/>
                <w:szCs w:val="18"/>
                <w:vertAlign w:val="baseline"/>
              </w:rPr>
            </w:pPr>
            <w:r>
              <w:rPr>
                <w:rFonts w:hint="eastAsia" w:ascii="仿宋" w:hAnsi="仿宋" w:eastAsia="仿宋" w:cs="仿宋"/>
                <w:kern w:val="0"/>
                <w:sz w:val="21"/>
                <w:szCs w:val="18"/>
                <w:vertAlign w:val="baseline"/>
              </w:rPr>
              <w:t>计价单位</w:t>
            </w:r>
          </w:p>
        </w:tc>
        <w:tc>
          <w:tcPr>
            <w:tcW w:w="0" w:type="auto"/>
            <w:shd w:val="clear" w:color="auto" w:fill="auto"/>
            <w:vAlign w:val="center"/>
          </w:tcPr>
          <w:p w14:paraId="4CA3EBE9">
            <w:pPr>
              <w:widowControl/>
              <w:jc w:val="center"/>
              <w:rPr>
                <w:rFonts w:ascii="仿宋" w:hAnsi="仿宋" w:eastAsia="仿宋" w:cs="仿宋"/>
                <w:kern w:val="0"/>
                <w:sz w:val="21"/>
                <w:szCs w:val="18"/>
                <w:vertAlign w:val="baseline"/>
              </w:rPr>
            </w:pPr>
            <w:r>
              <w:rPr>
                <w:rFonts w:hint="eastAsia" w:ascii="仿宋" w:hAnsi="仿宋" w:eastAsia="仿宋" w:cs="仿宋"/>
                <w:kern w:val="0"/>
                <w:sz w:val="21"/>
                <w:szCs w:val="18"/>
                <w:vertAlign w:val="baseline"/>
              </w:rPr>
              <w:t>单价（元）</w:t>
            </w:r>
          </w:p>
        </w:tc>
        <w:tc>
          <w:tcPr>
            <w:tcW w:w="0" w:type="auto"/>
            <w:shd w:val="clear" w:color="auto" w:fill="auto"/>
            <w:vAlign w:val="center"/>
          </w:tcPr>
          <w:p w14:paraId="69D6A045">
            <w:pPr>
              <w:widowControl/>
              <w:jc w:val="center"/>
              <w:rPr>
                <w:rFonts w:hint="default" w:ascii="仿宋" w:hAnsi="仿宋" w:eastAsia="仿宋" w:cs="仿宋"/>
                <w:kern w:val="0"/>
                <w:sz w:val="21"/>
                <w:szCs w:val="18"/>
                <w:vertAlign w:val="baseline"/>
                <w:lang w:val="en-US" w:eastAsia="zh-CN"/>
              </w:rPr>
            </w:pPr>
            <w:r>
              <w:rPr>
                <w:rFonts w:hint="eastAsia" w:ascii="仿宋" w:hAnsi="仿宋" w:eastAsia="仿宋" w:cs="仿宋"/>
                <w:kern w:val="0"/>
                <w:sz w:val="21"/>
                <w:szCs w:val="18"/>
                <w:vertAlign w:val="baseline"/>
                <w:lang w:val="en-US" w:eastAsia="zh-CN"/>
              </w:rPr>
              <w:t>产品代码（挂网ID）</w:t>
            </w:r>
          </w:p>
        </w:tc>
        <w:tc>
          <w:tcPr>
            <w:tcW w:w="0" w:type="auto"/>
            <w:shd w:val="clear" w:color="auto" w:fill="auto"/>
            <w:vAlign w:val="center"/>
          </w:tcPr>
          <w:p w14:paraId="3C78804D">
            <w:pPr>
              <w:widowControl/>
              <w:jc w:val="center"/>
              <w:rPr>
                <w:rFonts w:hint="default" w:ascii="仿宋" w:hAnsi="仿宋" w:eastAsia="仿宋" w:cs="仿宋"/>
                <w:kern w:val="0"/>
                <w:sz w:val="21"/>
                <w:szCs w:val="18"/>
                <w:vertAlign w:val="baseline"/>
                <w:lang w:val="en-US" w:eastAsia="zh-CN"/>
              </w:rPr>
            </w:pPr>
            <w:r>
              <w:rPr>
                <w:rFonts w:hint="eastAsia" w:ascii="仿宋" w:hAnsi="仿宋" w:eastAsia="仿宋" w:cs="仿宋"/>
                <w:kern w:val="0"/>
                <w:sz w:val="21"/>
                <w:szCs w:val="18"/>
                <w:vertAlign w:val="baseline"/>
                <w:lang w:val="en-US" w:eastAsia="zh-CN"/>
              </w:rPr>
              <w:t>品种名称</w:t>
            </w:r>
          </w:p>
        </w:tc>
        <w:tc>
          <w:tcPr>
            <w:tcW w:w="0" w:type="auto"/>
            <w:shd w:val="clear" w:color="auto" w:fill="auto"/>
            <w:vAlign w:val="center"/>
          </w:tcPr>
          <w:p w14:paraId="61DE9FD5">
            <w:pPr>
              <w:widowControl/>
              <w:jc w:val="center"/>
              <w:rPr>
                <w:rFonts w:hint="default" w:ascii="仿宋" w:hAnsi="仿宋" w:eastAsia="仿宋" w:cs="仿宋"/>
                <w:kern w:val="0"/>
                <w:sz w:val="21"/>
                <w:szCs w:val="18"/>
                <w:vertAlign w:val="baseline"/>
                <w:lang w:val="en-US" w:eastAsia="zh-CN"/>
              </w:rPr>
            </w:pPr>
            <w:r>
              <w:rPr>
                <w:rFonts w:hint="eastAsia" w:ascii="仿宋" w:hAnsi="仿宋" w:eastAsia="仿宋" w:cs="仿宋"/>
                <w:kern w:val="0"/>
                <w:sz w:val="21"/>
                <w:szCs w:val="18"/>
                <w:vertAlign w:val="baseline"/>
                <w:lang w:val="en-US" w:eastAsia="zh-CN"/>
              </w:rPr>
              <w:t>医保编码</w:t>
            </w:r>
          </w:p>
        </w:tc>
      </w:tr>
      <w:tr w14:paraId="3BE5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vAlign w:val="center"/>
          </w:tcPr>
          <w:p w14:paraId="2D142924">
            <w:pPr>
              <w:widowControl/>
              <w:jc w:val="center"/>
              <w:rPr>
                <w:rFonts w:hint="eastAsia" w:ascii="仿宋" w:hAnsi="仿宋" w:eastAsia="仿宋" w:cs="仿宋"/>
                <w:kern w:val="0"/>
                <w:sz w:val="21"/>
                <w:szCs w:val="18"/>
                <w:vertAlign w:val="baseline"/>
                <w:lang w:val="en-US" w:eastAsia="zh-CN"/>
              </w:rPr>
            </w:pPr>
          </w:p>
        </w:tc>
        <w:tc>
          <w:tcPr>
            <w:tcW w:w="0" w:type="auto"/>
            <w:shd w:val="clear" w:color="auto" w:fill="auto"/>
            <w:vAlign w:val="center"/>
          </w:tcPr>
          <w:p w14:paraId="6E4ED0D6">
            <w:pPr>
              <w:widowControl/>
              <w:jc w:val="center"/>
              <w:rPr>
                <w:rFonts w:hint="default" w:ascii="仿宋" w:hAnsi="仿宋" w:eastAsia="仿宋" w:cs="仿宋"/>
                <w:kern w:val="0"/>
                <w:sz w:val="21"/>
                <w:szCs w:val="18"/>
                <w:vertAlign w:val="baseline"/>
                <w:lang w:val="en-US" w:eastAsia="zh-CN"/>
              </w:rPr>
            </w:pPr>
          </w:p>
        </w:tc>
        <w:tc>
          <w:tcPr>
            <w:tcW w:w="0" w:type="auto"/>
            <w:shd w:val="clear" w:color="auto" w:fill="auto"/>
            <w:vAlign w:val="center"/>
          </w:tcPr>
          <w:p w14:paraId="7BF26A2B">
            <w:pPr>
              <w:widowControl/>
              <w:jc w:val="center"/>
              <w:rPr>
                <w:rFonts w:hint="default" w:ascii="仿宋" w:hAnsi="仿宋" w:eastAsia="仿宋" w:cs="仿宋"/>
                <w:kern w:val="0"/>
                <w:sz w:val="21"/>
                <w:szCs w:val="18"/>
                <w:vertAlign w:val="baseline"/>
                <w:lang w:val="en-US" w:eastAsia="zh-CN"/>
              </w:rPr>
            </w:pPr>
          </w:p>
        </w:tc>
        <w:tc>
          <w:tcPr>
            <w:tcW w:w="0" w:type="auto"/>
            <w:shd w:val="clear" w:color="auto" w:fill="auto"/>
            <w:vAlign w:val="center"/>
          </w:tcPr>
          <w:p w14:paraId="27A829D4">
            <w:pPr>
              <w:widowControl/>
              <w:jc w:val="center"/>
              <w:rPr>
                <w:rFonts w:hint="default" w:ascii="仿宋" w:hAnsi="仿宋" w:eastAsia="仿宋" w:cs="仿宋"/>
                <w:kern w:val="0"/>
                <w:sz w:val="20"/>
                <w:szCs w:val="21"/>
                <w:vertAlign w:val="baseline"/>
                <w:lang w:val="en-US" w:eastAsia="zh-CN"/>
              </w:rPr>
            </w:pPr>
          </w:p>
        </w:tc>
        <w:tc>
          <w:tcPr>
            <w:tcW w:w="0" w:type="auto"/>
            <w:shd w:val="clear" w:color="auto" w:fill="auto"/>
            <w:vAlign w:val="center"/>
          </w:tcPr>
          <w:p w14:paraId="18E50D78">
            <w:pPr>
              <w:widowControl/>
              <w:jc w:val="center"/>
              <w:rPr>
                <w:rFonts w:hint="default" w:ascii="仿宋" w:hAnsi="仿宋" w:eastAsia="仿宋" w:cs="仿宋"/>
                <w:kern w:val="0"/>
                <w:sz w:val="20"/>
                <w:szCs w:val="21"/>
                <w:vertAlign w:val="baseline"/>
                <w:lang w:val="en-US" w:eastAsia="zh-CN"/>
              </w:rPr>
            </w:pPr>
          </w:p>
        </w:tc>
        <w:tc>
          <w:tcPr>
            <w:tcW w:w="0" w:type="auto"/>
            <w:shd w:val="clear" w:color="auto" w:fill="auto"/>
            <w:vAlign w:val="center"/>
          </w:tcPr>
          <w:p w14:paraId="60C46AC9">
            <w:pPr>
              <w:widowControl/>
              <w:jc w:val="center"/>
              <w:rPr>
                <w:rFonts w:hint="default" w:ascii="仿宋" w:hAnsi="仿宋" w:eastAsia="仿宋" w:cs="仿宋"/>
                <w:kern w:val="0"/>
                <w:sz w:val="20"/>
                <w:szCs w:val="21"/>
                <w:vertAlign w:val="baseline"/>
                <w:lang w:val="en-US" w:eastAsia="zh-CN"/>
              </w:rPr>
            </w:pPr>
          </w:p>
        </w:tc>
        <w:tc>
          <w:tcPr>
            <w:tcW w:w="0" w:type="auto"/>
            <w:shd w:val="clear" w:color="auto" w:fill="auto"/>
            <w:vAlign w:val="center"/>
          </w:tcPr>
          <w:p w14:paraId="076AEE47">
            <w:pPr>
              <w:widowControl/>
              <w:jc w:val="center"/>
              <w:rPr>
                <w:rFonts w:hint="default" w:ascii="仿宋" w:hAnsi="仿宋" w:eastAsia="仿宋" w:cs="仿宋"/>
                <w:kern w:val="0"/>
                <w:sz w:val="21"/>
                <w:szCs w:val="18"/>
                <w:vertAlign w:val="baseline"/>
                <w:lang w:val="en-US" w:eastAsia="zh-CN"/>
              </w:rPr>
            </w:pPr>
          </w:p>
        </w:tc>
        <w:tc>
          <w:tcPr>
            <w:tcW w:w="0" w:type="auto"/>
            <w:shd w:val="clear" w:color="auto" w:fill="auto"/>
            <w:vAlign w:val="center"/>
          </w:tcPr>
          <w:p w14:paraId="396115AD">
            <w:pPr>
              <w:widowControl/>
              <w:jc w:val="center"/>
              <w:rPr>
                <w:rFonts w:hint="default" w:ascii="仿宋" w:hAnsi="仿宋" w:eastAsia="仿宋" w:cs="仿宋"/>
                <w:kern w:val="0"/>
                <w:sz w:val="21"/>
                <w:szCs w:val="18"/>
                <w:vertAlign w:val="baseline"/>
                <w:lang w:val="en-US" w:eastAsia="zh-CN"/>
              </w:rPr>
            </w:pPr>
          </w:p>
        </w:tc>
        <w:tc>
          <w:tcPr>
            <w:tcW w:w="0" w:type="auto"/>
            <w:shd w:val="clear" w:color="auto" w:fill="auto"/>
            <w:vAlign w:val="center"/>
          </w:tcPr>
          <w:p w14:paraId="4C2613C1">
            <w:pPr>
              <w:widowControl/>
              <w:jc w:val="center"/>
              <w:rPr>
                <w:rFonts w:hint="eastAsia" w:ascii="仿宋" w:hAnsi="仿宋" w:eastAsia="仿宋" w:cs="仿宋"/>
                <w:kern w:val="0"/>
                <w:sz w:val="21"/>
                <w:szCs w:val="18"/>
                <w:vertAlign w:val="baseline"/>
                <w:lang w:val="en-US" w:eastAsia="zh-CN"/>
              </w:rPr>
            </w:pPr>
          </w:p>
        </w:tc>
        <w:tc>
          <w:tcPr>
            <w:tcW w:w="0" w:type="auto"/>
            <w:shd w:val="clear" w:color="auto" w:fill="auto"/>
            <w:vAlign w:val="center"/>
          </w:tcPr>
          <w:p w14:paraId="4856B3F9">
            <w:pPr>
              <w:widowControl/>
              <w:jc w:val="center"/>
              <w:rPr>
                <w:rFonts w:hint="default" w:ascii="仿宋" w:hAnsi="仿宋" w:eastAsia="仿宋" w:cs="仿宋"/>
                <w:kern w:val="0"/>
                <w:sz w:val="21"/>
                <w:szCs w:val="18"/>
                <w:vertAlign w:val="baseline"/>
                <w:lang w:val="en-US" w:eastAsia="zh-CN"/>
              </w:rPr>
            </w:pPr>
          </w:p>
        </w:tc>
        <w:tc>
          <w:tcPr>
            <w:tcW w:w="0" w:type="auto"/>
            <w:shd w:val="clear" w:color="auto" w:fill="auto"/>
            <w:vAlign w:val="center"/>
          </w:tcPr>
          <w:p w14:paraId="4EA6B26D">
            <w:pPr>
              <w:widowControl/>
              <w:jc w:val="center"/>
              <w:rPr>
                <w:rFonts w:hint="default" w:ascii="仿宋" w:hAnsi="仿宋" w:eastAsia="仿宋" w:cs="仿宋"/>
                <w:kern w:val="0"/>
                <w:sz w:val="21"/>
                <w:szCs w:val="18"/>
                <w:vertAlign w:val="baseline"/>
                <w:lang w:val="en-US" w:eastAsia="zh-CN"/>
              </w:rPr>
            </w:pPr>
          </w:p>
        </w:tc>
      </w:tr>
    </w:tbl>
    <w:p w14:paraId="77519DFE">
      <w:pPr>
        <w:pStyle w:val="2"/>
        <w:ind w:firstLine="0" w:firstLineChars="0"/>
        <w:rPr>
          <w:sz w:val="21"/>
          <w:szCs w:val="21"/>
          <w:vertAlign w:val="baseline"/>
        </w:rPr>
      </w:pPr>
    </w:p>
    <w:p w14:paraId="77F1CCE3">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三、合同期限及质保期</w:t>
      </w:r>
    </w:p>
    <w:p w14:paraId="5753C645">
      <w:pPr>
        <w:spacing w:line="520" w:lineRule="exact"/>
        <w:ind w:firstLine="570"/>
        <w:rPr>
          <w:rFonts w:ascii="仿宋" w:hAnsi="仿宋" w:eastAsia="仿宋"/>
          <w:sz w:val="22"/>
          <w:szCs w:val="22"/>
          <w:u w:val="single"/>
          <w:vertAlign w:val="baseline"/>
        </w:rPr>
      </w:pPr>
      <w:r>
        <w:rPr>
          <w:rFonts w:hint="eastAsia" w:ascii="仿宋" w:hAnsi="仿宋" w:eastAsia="仿宋"/>
          <w:sz w:val="22"/>
          <w:szCs w:val="22"/>
          <w:vertAlign w:val="baseline"/>
        </w:rPr>
        <w:t>1、本合同有效期两年，</w:t>
      </w:r>
      <w:r>
        <w:rPr>
          <w:rFonts w:hint="eastAsia" w:ascii="仿宋" w:hAnsi="仿宋" w:eastAsia="仿宋"/>
          <w:sz w:val="22"/>
          <w:szCs w:val="22"/>
          <w:u w:val="single"/>
          <w:vertAlign w:val="baseline"/>
        </w:rPr>
        <w:t>自</w:t>
      </w:r>
      <w:r>
        <w:rPr>
          <w:rFonts w:hint="eastAsia" w:ascii="仿宋" w:hAnsi="仿宋" w:eastAsia="仿宋"/>
          <w:sz w:val="22"/>
          <w:szCs w:val="22"/>
          <w:u w:val="single"/>
          <w:vertAlign w:val="baseline"/>
          <w:lang w:val="en-US" w:eastAsia="zh-CN"/>
        </w:rPr>
        <w:t>合同签订之日起算</w:t>
      </w:r>
      <w:r>
        <w:rPr>
          <w:rFonts w:hint="eastAsia" w:ascii="仿宋" w:hAnsi="仿宋" w:eastAsia="仿宋"/>
          <w:sz w:val="22"/>
          <w:szCs w:val="22"/>
          <w:vertAlign w:val="baseline"/>
        </w:rPr>
        <w:t>。合同期满，根据服务</w:t>
      </w:r>
      <w:r>
        <w:rPr>
          <w:rFonts w:ascii="仿宋" w:hAnsi="仿宋" w:eastAsia="仿宋"/>
          <w:sz w:val="22"/>
          <w:szCs w:val="22"/>
          <w:vertAlign w:val="baseline"/>
        </w:rPr>
        <w:t>满意度确定是否续签合同</w:t>
      </w:r>
      <w:r>
        <w:rPr>
          <w:rFonts w:hint="eastAsia" w:ascii="仿宋" w:hAnsi="仿宋" w:eastAsia="仿宋"/>
          <w:sz w:val="22"/>
          <w:szCs w:val="22"/>
          <w:vertAlign w:val="baseline"/>
        </w:rPr>
        <w:t>。质保期：</w:t>
      </w:r>
      <w:r>
        <w:rPr>
          <w:rFonts w:hint="eastAsia" w:ascii="仿宋" w:hAnsi="仿宋" w:eastAsia="仿宋"/>
          <w:sz w:val="22"/>
          <w:szCs w:val="22"/>
          <w:u w:val="single"/>
          <w:vertAlign w:val="baseline"/>
        </w:rPr>
        <w:t>耗材有效期内提供质量保证及售后服务，效期剩3个月（或剩余</w:t>
      </w:r>
      <w:r>
        <w:rPr>
          <w:rFonts w:ascii="仿宋" w:hAnsi="仿宋" w:eastAsia="仿宋"/>
          <w:sz w:val="22"/>
          <w:szCs w:val="22"/>
          <w:u w:val="single"/>
          <w:vertAlign w:val="baseline"/>
        </w:rPr>
        <w:t>效期</w:t>
      </w:r>
      <w:r>
        <w:rPr>
          <w:rFonts w:hint="eastAsia" w:ascii="仿宋" w:hAnsi="仿宋" w:eastAsia="仿宋"/>
          <w:sz w:val="22"/>
          <w:szCs w:val="22"/>
          <w:u w:val="single"/>
          <w:vertAlign w:val="baseline"/>
        </w:rPr>
        <w:t xml:space="preserve">少于耗材有效期的三分之一）提供换货服务 </w:t>
      </w:r>
      <w:r>
        <w:rPr>
          <w:rFonts w:ascii="仿宋" w:hAnsi="仿宋" w:eastAsia="仿宋"/>
          <w:sz w:val="22"/>
          <w:szCs w:val="22"/>
          <w:u w:val="single"/>
          <w:vertAlign w:val="baseline"/>
        </w:rPr>
        <w:t>,</w:t>
      </w:r>
      <w:r>
        <w:rPr>
          <w:rFonts w:hint="eastAsia" w:ascii="仿宋" w:hAnsi="仿宋" w:eastAsia="仿宋"/>
          <w:sz w:val="22"/>
          <w:szCs w:val="22"/>
          <w:u w:val="single"/>
          <w:vertAlign w:val="baseline"/>
        </w:rPr>
        <w:t>响应时间</w:t>
      </w:r>
      <w:r>
        <w:rPr>
          <w:rFonts w:ascii="仿宋" w:hAnsi="仿宋" w:eastAsia="仿宋"/>
          <w:sz w:val="22"/>
          <w:szCs w:val="22"/>
          <w:u w:val="single"/>
          <w:vertAlign w:val="baseline"/>
        </w:rPr>
        <w:t>：</w:t>
      </w:r>
      <w:r>
        <w:rPr>
          <w:rFonts w:hint="eastAsia" w:ascii="仿宋" w:hAnsi="仿宋" w:eastAsia="仿宋"/>
          <w:sz w:val="22"/>
          <w:szCs w:val="22"/>
          <w:u w:val="single"/>
          <w:vertAlign w:val="baseline"/>
        </w:rPr>
        <w:t>两个小时内。</w:t>
      </w:r>
    </w:p>
    <w:p w14:paraId="7B57EFC9">
      <w:pPr>
        <w:spacing w:line="520" w:lineRule="exact"/>
        <w:ind w:firstLine="570"/>
        <w:rPr>
          <w:rFonts w:ascii="仿宋" w:hAnsi="仿宋" w:eastAsia="仿宋"/>
          <w:sz w:val="22"/>
          <w:szCs w:val="22"/>
          <w:u w:val="single"/>
          <w:vertAlign w:val="baseline"/>
        </w:rPr>
      </w:pPr>
      <w:r>
        <w:rPr>
          <w:rFonts w:ascii="仿宋" w:hAnsi="仿宋" w:eastAsia="仿宋"/>
          <w:sz w:val="22"/>
          <w:szCs w:val="22"/>
          <w:u w:val="single"/>
          <w:vertAlign w:val="baseline"/>
        </w:rPr>
        <w:t>2</w:t>
      </w:r>
      <w:r>
        <w:rPr>
          <w:rFonts w:hint="eastAsia" w:ascii="仿宋" w:hAnsi="仿宋" w:eastAsia="仿宋"/>
          <w:sz w:val="22"/>
          <w:szCs w:val="22"/>
          <w:u w:val="single"/>
          <w:vertAlign w:val="baseline"/>
        </w:rPr>
        <w:t>、合同执行过程中如遇国家政策调整或与国家、省市政策、规定不符，按国家、省市相应政策执行。其他未尽事宜双方协商解决，协商不一致则终止合同。</w:t>
      </w:r>
    </w:p>
    <w:p w14:paraId="7485519F">
      <w:pPr>
        <w:spacing w:line="520" w:lineRule="exact"/>
        <w:ind w:firstLine="570"/>
        <w:rPr>
          <w:rFonts w:ascii="仿宋" w:hAnsi="仿宋" w:eastAsia="仿宋"/>
          <w:sz w:val="22"/>
          <w:szCs w:val="22"/>
          <w:u w:val="single"/>
          <w:vertAlign w:val="baseline"/>
        </w:rPr>
      </w:pPr>
      <w:r>
        <w:rPr>
          <w:rFonts w:ascii="仿宋" w:hAnsi="仿宋" w:eastAsia="仿宋"/>
          <w:sz w:val="22"/>
          <w:szCs w:val="22"/>
          <w:u w:val="single"/>
          <w:vertAlign w:val="baseline"/>
        </w:rPr>
        <w:t>3</w:t>
      </w:r>
      <w:r>
        <w:rPr>
          <w:rFonts w:hint="eastAsia" w:ascii="仿宋" w:hAnsi="仿宋" w:eastAsia="仿宋"/>
          <w:sz w:val="22"/>
          <w:szCs w:val="22"/>
          <w:u w:val="single"/>
          <w:vertAlign w:val="baseline"/>
        </w:rPr>
        <w:t>、企业在合同执行期因公司名称变更，业务代理变更等原因需改换公司供货，需到采购办办理变更手续。</w:t>
      </w:r>
    </w:p>
    <w:p w14:paraId="33A557C7">
      <w:pPr>
        <w:spacing w:line="520" w:lineRule="exact"/>
        <w:ind w:firstLine="570"/>
        <w:rPr>
          <w:rFonts w:ascii="仿宋" w:hAnsi="仿宋" w:eastAsia="仿宋"/>
          <w:sz w:val="22"/>
          <w:szCs w:val="22"/>
          <w:u w:val="single"/>
          <w:vertAlign w:val="baseline"/>
        </w:rPr>
      </w:pPr>
      <w:r>
        <w:rPr>
          <w:rFonts w:ascii="仿宋" w:hAnsi="仿宋" w:eastAsia="仿宋"/>
          <w:sz w:val="22"/>
          <w:szCs w:val="22"/>
          <w:u w:val="single"/>
          <w:vertAlign w:val="baseline"/>
        </w:rPr>
        <w:t>4</w:t>
      </w:r>
      <w:r>
        <w:rPr>
          <w:rFonts w:hint="eastAsia" w:ascii="仿宋" w:hAnsi="仿宋" w:eastAsia="仿宋"/>
          <w:sz w:val="22"/>
          <w:szCs w:val="22"/>
          <w:u w:val="single"/>
          <w:vertAlign w:val="baseline"/>
        </w:rPr>
        <w:t>、卖方无条件配合买方物资供应链管理（S</w:t>
      </w:r>
      <w:r>
        <w:rPr>
          <w:rFonts w:ascii="仿宋" w:hAnsi="仿宋" w:eastAsia="仿宋"/>
          <w:sz w:val="22"/>
          <w:szCs w:val="22"/>
          <w:u w:val="single"/>
          <w:vertAlign w:val="baseline"/>
        </w:rPr>
        <w:t>PD</w:t>
      </w:r>
      <w:r>
        <w:rPr>
          <w:rFonts w:hint="eastAsia" w:ascii="仿宋" w:hAnsi="仿宋" w:eastAsia="仿宋"/>
          <w:sz w:val="22"/>
          <w:szCs w:val="22"/>
          <w:u w:val="single"/>
          <w:vertAlign w:val="baseline"/>
        </w:rPr>
        <w:t>）项目，做好对试剂耗材的精细化管理。</w:t>
      </w:r>
    </w:p>
    <w:p w14:paraId="0BAB48C2">
      <w:pPr>
        <w:spacing w:line="520" w:lineRule="exact"/>
        <w:ind w:firstLine="570"/>
        <w:rPr>
          <w:rFonts w:ascii="仿宋" w:hAnsi="仿宋" w:eastAsia="仿宋"/>
          <w:sz w:val="22"/>
          <w:szCs w:val="22"/>
          <w:u w:val="single"/>
          <w:vertAlign w:val="baseline"/>
        </w:rPr>
      </w:pPr>
      <w:r>
        <w:rPr>
          <w:rFonts w:ascii="仿宋" w:hAnsi="仿宋" w:eastAsia="仿宋"/>
          <w:sz w:val="22"/>
          <w:szCs w:val="22"/>
          <w:u w:val="single"/>
          <w:vertAlign w:val="baseline"/>
        </w:rPr>
        <w:t>5</w:t>
      </w:r>
      <w:r>
        <w:rPr>
          <w:rFonts w:hint="eastAsia" w:ascii="仿宋" w:hAnsi="仿宋" w:eastAsia="仿宋"/>
          <w:sz w:val="22"/>
          <w:szCs w:val="22"/>
          <w:u w:val="single"/>
          <w:vertAlign w:val="baseline"/>
        </w:rPr>
        <w:t>、</w:t>
      </w:r>
      <w:r>
        <w:rPr>
          <w:rFonts w:ascii="仿宋" w:hAnsi="仿宋" w:eastAsia="仿宋"/>
          <w:sz w:val="22"/>
          <w:szCs w:val="22"/>
          <w:u w:val="single"/>
          <w:vertAlign w:val="baseline"/>
        </w:rPr>
        <w:t>根据医院需求提供备用设施。</w:t>
      </w:r>
    </w:p>
    <w:p w14:paraId="013313C4">
      <w:pPr>
        <w:pStyle w:val="7"/>
        <w:rPr>
          <w:sz w:val="21"/>
          <w:szCs w:val="21"/>
          <w:highlight w:val="none"/>
          <w:vertAlign w:val="baseline"/>
        </w:rPr>
      </w:pPr>
      <w:r>
        <w:rPr>
          <w:rFonts w:hint="eastAsia" w:ascii="仿宋" w:hAnsi="仿宋" w:eastAsia="仿宋"/>
          <w:sz w:val="22"/>
          <w:szCs w:val="22"/>
          <w:highlight w:val="none"/>
          <w:u w:val="single"/>
          <w:vertAlign w:val="baseline"/>
          <w:lang w:val="en-US" w:eastAsia="zh-CN"/>
        </w:rPr>
        <w:t>6、在合同期限内,如遇国家或省市价格主管部门调整收费价格或因市场原因试剂耗材价格下调时，供应商应根据医院医用耗材管理办法及时至采购办申请调整供货价格。若因市场原因试剂耗材价格上调时，耗材价格执行本合同价格。</w:t>
      </w:r>
    </w:p>
    <w:p w14:paraId="0778B7A6">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四、交货方式：</w:t>
      </w:r>
    </w:p>
    <w:p w14:paraId="3783A5A2">
      <w:pPr>
        <w:spacing w:line="520" w:lineRule="exact"/>
        <w:ind w:firstLine="570"/>
        <w:rPr>
          <w:rFonts w:ascii="仿宋" w:hAnsi="仿宋" w:eastAsia="仿宋"/>
          <w:sz w:val="22"/>
          <w:szCs w:val="22"/>
          <w:vertAlign w:val="baseline"/>
        </w:rPr>
      </w:pPr>
      <w:r>
        <w:rPr>
          <w:rFonts w:hint="eastAsia" w:ascii="仿宋" w:hAnsi="仿宋" w:eastAsia="仿宋"/>
          <w:sz w:val="22"/>
          <w:szCs w:val="22"/>
          <w:vertAlign w:val="baseline"/>
        </w:rPr>
        <w:t>采用送货方式的，卖方负责运输和保险，将货物运到买方指定的交货地点，运输费用及完成交货前的风险由卖方负担。</w:t>
      </w:r>
    </w:p>
    <w:p w14:paraId="6660C8B6">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五、包装</w:t>
      </w:r>
    </w:p>
    <w:p w14:paraId="21BB7A42">
      <w:pPr>
        <w:spacing w:line="520" w:lineRule="exact"/>
        <w:ind w:firstLine="570"/>
        <w:rPr>
          <w:rFonts w:ascii="仿宋" w:hAnsi="仿宋" w:eastAsia="仿宋"/>
          <w:sz w:val="22"/>
          <w:szCs w:val="22"/>
          <w:vertAlign w:val="baseline"/>
        </w:rPr>
      </w:pPr>
      <w:r>
        <w:rPr>
          <w:rFonts w:hint="eastAsia" w:ascii="仿宋" w:hAnsi="仿宋" w:eastAsia="仿宋"/>
          <w:sz w:val="22"/>
          <w:szCs w:val="22"/>
          <w:vertAlign w:val="baseline"/>
        </w:rPr>
        <w:t>货物包装由卖方负责，卖方应对货物安排采取适当的、完好的包装方式，以满足货物运输安全所需。</w:t>
      </w:r>
    </w:p>
    <w:p w14:paraId="17B8D1B0">
      <w:pPr>
        <w:numPr>
          <w:ilvl w:val="0"/>
          <w:numId w:val="13"/>
        </w:numPr>
        <w:spacing w:line="520" w:lineRule="exact"/>
        <w:ind w:firstLine="440" w:firstLineChars="200"/>
        <w:rPr>
          <w:rFonts w:hint="eastAsia"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技术要求</w:t>
      </w:r>
    </w:p>
    <w:p w14:paraId="2104FE45">
      <w:pPr>
        <w:numPr>
          <w:ilvl w:val="0"/>
          <w:numId w:val="14"/>
        </w:numPr>
        <w:spacing w:line="520" w:lineRule="exact"/>
        <w:ind w:firstLine="57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卖方</w:t>
      </w:r>
      <w:r>
        <w:rPr>
          <w:rFonts w:hint="default" w:ascii="仿宋" w:hAnsi="仿宋" w:eastAsia="仿宋"/>
          <w:sz w:val="22"/>
          <w:szCs w:val="22"/>
          <w:vertAlign w:val="baseline"/>
          <w:lang w:val="en-US" w:eastAsia="zh-CN"/>
        </w:rPr>
        <w:t>须承诺所供应产品均为正品；</w:t>
      </w:r>
    </w:p>
    <w:p w14:paraId="26B55673">
      <w:pPr>
        <w:numPr>
          <w:ilvl w:val="0"/>
          <w:numId w:val="14"/>
        </w:numPr>
        <w:spacing w:line="520" w:lineRule="exact"/>
        <w:ind w:firstLine="570"/>
        <w:rPr>
          <w:rFonts w:hint="default" w:ascii="仿宋" w:hAnsi="仿宋" w:eastAsia="仿宋"/>
          <w:sz w:val="22"/>
          <w:szCs w:val="22"/>
          <w:highlight w:val="none"/>
          <w:vertAlign w:val="baseline"/>
          <w:lang w:val="en-US" w:eastAsia="zh-CN"/>
        </w:rPr>
      </w:pPr>
      <w:r>
        <w:rPr>
          <w:rFonts w:hint="eastAsia" w:ascii="仿宋" w:hAnsi="仿宋" w:eastAsia="仿宋"/>
          <w:sz w:val="22"/>
          <w:szCs w:val="22"/>
          <w:highlight w:val="none"/>
          <w:vertAlign w:val="baseline"/>
          <w:lang w:val="en-US" w:eastAsia="zh-CN"/>
        </w:rPr>
        <w:t>卖方应及时提供本合同涉及的耗材及试剂的全链条授权书；</w:t>
      </w:r>
    </w:p>
    <w:p w14:paraId="0A523FD2">
      <w:pPr>
        <w:numPr>
          <w:ilvl w:val="0"/>
          <w:numId w:val="14"/>
        </w:numPr>
        <w:spacing w:line="520" w:lineRule="exact"/>
        <w:ind w:firstLine="57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卖方</w:t>
      </w:r>
      <w:r>
        <w:rPr>
          <w:rFonts w:hint="default" w:ascii="仿宋" w:hAnsi="仿宋" w:eastAsia="仿宋"/>
          <w:sz w:val="22"/>
          <w:szCs w:val="22"/>
          <w:vertAlign w:val="baseline"/>
          <w:lang w:val="en-US" w:eastAsia="zh-CN"/>
        </w:rPr>
        <w:t>所</w:t>
      </w:r>
      <w:r>
        <w:rPr>
          <w:rFonts w:hint="eastAsia" w:ascii="仿宋" w:hAnsi="仿宋" w:eastAsia="仿宋"/>
          <w:sz w:val="22"/>
          <w:szCs w:val="22"/>
          <w:vertAlign w:val="baseline"/>
          <w:lang w:val="en-US" w:eastAsia="zh-CN"/>
        </w:rPr>
        <w:t>供</w:t>
      </w:r>
      <w:r>
        <w:rPr>
          <w:rFonts w:hint="default" w:ascii="仿宋" w:hAnsi="仿宋" w:eastAsia="仿宋"/>
          <w:sz w:val="22"/>
          <w:szCs w:val="22"/>
          <w:vertAlign w:val="baseline"/>
          <w:lang w:val="en-US" w:eastAsia="zh-CN"/>
        </w:rPr>
        <w:t>产品为医疗器械的，须提供所</w:t>
      </w:r>
      <w:r>
        <w:rPr>
          <w:rFonts w:hint="eastAsia" w:ascii="仿宋" w:hAnsi="仿宋" w:eastAsia="仿宋"/>
          <w:sz w:val="22"/>
          <w:szCs w:val="22"/>
          <w:vertAlign w:val="baseline"/>
          <w:lang w:val="en-US" w:eastAsia="zh-CN"/>
        </w:rPr>
        <w:t>供</w:t>
      </w:r>
      <w:r>
        <w:rPr>
          <w:rFonts w:hint="default" w:ascii="仿宋" w:hAnsi="仿宋" w:eastAsia="仿宋"/>
          <w:sz w:val="22"/>
          <w:szCs w:val="22"/>
          <w:vertAlign w:val="baseline"/>
          <w:lang w:val="en-US" w:eastAsia="zh-CN"/>
        </w:rPr>
        <w:t>产品的对应医疗器械注册证</w:t>
      </w:r>
      <w:r>
        <w:rPr>
          <w:rFonts w:hint="eastAsia" w:ascii="仿宋" w:hAnsi="仿宋" w:eastAsia="仿宋"/>
          <w:sz w:val="22"/>
          <w:szCs w:val="22"/>
          <w:vertAlign w:val="baseline"/>
          <w:lang w:val="en-US" w:eastAsia="zh-CN"/>
        </w:rPr>
        <w:t>；</w:t>
      </w:r>
    </w:p>
    <w:p w14:paraId="57CE7783">
      <w:pPr>
        <w:numPr>
          <w:ilvl w:val="0"/>
          <w:numId w:val="14"/>
        </w:numPr>
        <w:spacing w:line="520" w:lineRule="exact"/>
        <w:ind w:firstLine="57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卖方</w:t>
      </w:r>
      <w:r>
        <w:rPr>
          <w:rFonts w:hint="default" w:ascii="仿宋" w:hAnsi="仿宋" w:eastAsia="仿宋"/>
          <w:sz w:val="22"/>
          <w:szCs w:val="22"/>
          <w:vertAlign w:val="baseline"/>
          <w:lang w:val="en-US" w:eastAsia="zh-CN"/>
        </w:rPr>
        <w:t>需具有履行合同必须具备的供应保障和及时配送能力（包括购进、存储、销售以及经营和质量控制及调配的能力）。在合同要求的服务范围内，服从医院</w:t>
      </w:r>
      <w:r>
        <w:rPr>
          <w:rFonts w:hint="eastAsia" w:ascii="仿宋" w:hAnsi="仿宋" w:eastAsia="仿宋"/>
          <w:sz w:val="22"/>
          <w:szCs w:val="22"/>
          <w:vertAlign w:val="baseline"/>
          <w:lang w:val="en-US" w:eastAsia="zh-CN"/>
        </w:rPr>
        <w:t>买方</w:t>
      </w:r>
      <w:r>
        <w:rPr>
          <w:rFonts w:hint="default" w:ascii="仿宋" w:hAnsi="仿宋" w:eastAsia="仿宋"/>
          <w:sz w:val="22"/>
          <w:szCs w:val="22"/>
          <w:vertAlign w:val="baseline"/>
          <w:lang w:val="en-US" w:eastAsia="zh-CN"/>
        </w:rPr>
        <w:t>员安排；</w:t>
      </w:r>
    </w:p>
    <w:p w14:paraId="4E9DD7DB">
      <w:pPr>
        <w:numPr>
          <w:ilvl w:val="0"/>
          <w:numId w:val="14"/>
        </w:numPr>
        <w:spacing w:line="520" w:lineRule="exact"/>
        <w:ind w:firstLine="57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卖方</w:t>
      </w:r>
      <w:r>
        <w:rPr>
          <w:rFonts w:hint="default" w:ascii="仿宋" w:hAnsi="仿宋" w:eastAsia="仿宋"/>
          <w:sz w:val="22"/>
          <w:szCs w:val="22"/>
          <w:vertAlign w:val="baseline"/>
          <w:lang w:val="en-US" w:eastAsia="zh-CN"/>
        </w:rPr>
        <w:t>需自有的配送车辆或具有合作、租赁的配送车辆</w:t>
      </w:r>
      <w:r>
        <w:rPr>
          <w:rFonts w:hint="eastAsia" w:ascii="仿宋" w:hAnsi="仿宋" w:eastAsia="仿宋"/>
          <w:sz w:val="22"/>
          <w:szCs w:val="22"/>
          <w:vertAlign w:val="baseline"/>
          <w:lang w:val="en-US" w:eastAsia="zh-CN"/>
        </w:rPr>
        <w:t>；</w:t>
      </w:r>
    </w:p>
    <w:p w14:paraId="62C6F5F3">
      <w:pPr>
        <w:numPr>
          <w:ilvl w:val="0"/>
          <w:numId w:val="14"/>
        </w:numPr>
        <w:spacing w:line="520" w:lineRule="exact"/>
        <w:ind w:firstLine="570"/>
        <w:rPr>
          <w:rFonts w:hint="default" w:ascii="仿宋" w:hAnsi="仿宋" w:eastAsia="仿宋"/>
          <w:sz w:val="22"/>
          <w:szCs w:val="22"/>
          <w:vertAlign w:val="baseline"/>
          <w:lang w:val="en-US" w:eastAsia="zh-CN"/>
        </w:rPr>
      </w:pPr>
      <w:r>
        <w:rPr>
          <w:rFonts w:hint="default" w:ascii="仿宋" w:hAnsi="仿宋" w:eastAsia="仿宋"/>
          <w:sz w:val="22"/>
          <w:szCs w:val="22"/>
          <w:vertAlign w:val="baseline"/>
          <w:lang w:val="en-US" w:eastAsia="zh-CN"/>
        </w:rPr>
        <w:t>制定正常配送、紧急配送方案，能满足医院临时供货需求，按照要求时间送达，不论所供货品数量及价值大小，可以根据医院实际需要，提供符合要求的最小包装量；</w:t>
      </w:r>
    </w:p>
    <w:p w14:paraId="2D55DF0A">
      <w:pPr>
        <w:numPr>
          <w:ilvl w:val="0"/>
          <w:numId w:val="14"/>
        </w:numPr>
        <w:spacing w:line="520" w:lineRule="exact"/>
        <w:ind w:firstLine="570"/>
        <w:rPr>
          <w:rFonts w:hint="default" w:ascii="仿宋" w:hAnsi="仿宋" w:eastAsia="仿宋"/>
          <w:sz w:val="22"/>
          <w:szCs w:val="22"/>
          <w:vertAlign w:val="baseline"/>
          <w:lang w:val="en-US" w:eastAsia="zh-CN"/>
        </w:rPr>
      </w:pPr>
      <w:r>
        <w:rPr>
          <w:rFonts w:hint="default" w:ascii="仿宋" w:hAnsi="仿宋" w:eastAsia="仿宋"/>
          <w:sz w:val="22"/>
          <w:szCs w:val="22"/>
          <w:vertAlign w:val="baseline"/>
          <w:lang w:val="en-US" w:eastAsia="zh-CN"/>
        </w:rPr>
        <w:t>采购产品确定后，不得更换产品的品牌、规格、型号或以次充好；</w:t>
      </w:r>
    </w:p>
    <w:p w14:paraId="2F4A4D2A">
      <w:pPr>
        <w:numPr>
          <w:ilvl w:val="0"/>
          <w:numId w:val="14"/>
        </w:numPr>
        <w:spacing w:line="520" w:lineRule="exact"/>
        <w:ind w:firstLine="570"/>
        <w:rPr>
          <w:rFonts w:hint="default" w:ascii="仿宋" w:hAnsi="仿宋" w:eastAsia="仿宋"/>
          <w:sz w:val="22"/>
          <w:szCs w:val="22"/>
          <w:vertAlign w:val="baseline"/>
          <w:lang w:val="en-US" w:eastAsia="zh-CN"/>
        </w:rPr>
      </w:pPr>
      <w:r>
        <w:rPr>
          <w:rFonts w:hint="default" w:ascii="仿宋" w:hAnsi="仿宋" w:eastAsia="仿宋"/>
          <w:sz w:val="22"/>
          <w:szCs w:val="22"/>
          <w:vertAlign w:val="baseline"/>
          <w:lang w:val="en-US" w:eastAsia="zh-CN"/>
        </w:rPr>
        <w:t>根据医院物资管理库信息升级的需要，配合完成相应软硬件配套工作；</w:t>
      </w:r>
    </w:p>
    <w:p w14:paraId="49DB70EA">
      <w:pPr>
        <w:numPr>
          <w:ilvl w:val="0"/>
          <w:numId w:val="14"/>
        </w:numPr>
        <w:spacing w:line="520" w:lineRule="exact"/>
        <w:ind w:firstLine="570"/>
        <w:rPr>
          <w:rFonts w:hint="default" w:ascii="仿宋" w:hAnsi="仿宋" w:eastAsia="仿宋"/>
          <w:sz w:val="22"/>
          <w:szCs w:val="22"/>
          <w:vertAlign w:val="baseline"/>
          <w:lang w:val="en-US" w:eastAsia="zh-CN"/>
        </w:rPr>
      </w:pPr>
      <w:r>
        <w:rPr>
          <w:rFonts w:hint="default" w:ascii="仿宋" w:hAnsi="仿宋" w:eastAsia="仿宋"/>
          <w:sz w:val="22"/>
          <w:szCs w:val="22"/>
          <w:vertAlign w:val="baseline"/>
          <w:lang w:val="en-US" w:eastAsia="zh-CN"/>
        </w:rPr>
        <w:t>本地化服务：在青岛或周边正常交通工具2小时可到达的城市地区具有配送点</w:t>
      </w:r>
      <w:r>
        <w:rPr>
          <w:rFonts w:hint="eastAsia" w:ascii="仿宋" w:hAnsi="仿宋" w:eastAsia="仿宋"/>
          <w:sz w:val="22"/>
          <w:szCs w:val="22"/>
          <w:vertAlign w:val="baseline"/>
          <w:lang w:val="en-US" w:eastAsia="zh-CN"/>
        </w:rPr>
        <w:t>；</w:t>
      </w:r>
    </w:p>
    <w:p w14:paraId="18EA19F5">
      <w:pPr>
        <w:numPr>
          <w:ilvl w:val="0"/>
          <w:numId w:val="0"/>
        </w:numPr>
        <w:spacing w:line="520" w:lineRule="exact"/>
        <w:ind w:firstLine="440" w:firstLineChars="20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10、</w:t>
      </w:r>
      <w:r>
        <w:rPr>
          <w:rFonts w:hint="default" w:ascii="仿宋" w:hAnsi="仿宋" w:eastAsia="仿宋"/>
          <w:sz w:val="22"/>
          <w:szCs w:val="22"/>
          <w:vertAlign w:val="baseline"/>
          <w:lang w:val="en-US" w:eastAsia="zh-CN"/>
        </w:rPr>
        <w:t>给予医院相关科室技术支持</w:t>
      </w:r>
      <w:r>
        <w:rPr>
          <w:rFonts w:hint="eastAsia" w:ascii="仿宋" w:hAnsi="仿宋" w:eastAsia="仿宋"/>
          <w:sz w:val="22"/>
          <w:szCs w:val="22"/>
          <w:vertAlign w:val="baseline"/>
          <w:lang w:val="en-US" w:eastAsia="zh-CN"/>
        </w:rPr>
        <w:t>；</w:t>
      </w:r>
    </w:p>
    <w:p w14:paraId="55401DCF">
      <w:pPr>
        <w:numPr>
          <w:ilvl w:val="0"/>
          <w:numId w:val="0"/>
        </w:numPr>
        <w:spacing w:line="520" w:lineRule="exact"/>
        <w:ind w:firstLine="440" w:firstLineChars="20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11、</w:t>
      </w:r>
      <w:r>
        <w:rPr>
          <w:rFonts w:hint="default" w:ascii="仿宋" w:hAnsi="仿宋" w:eastAsia="仿宋"/>
          <w:sz w:val="22"/>
          <w:szCs w:val="22"/>
          <w:vertAlign w:val="baseline"/>
          <w:lang w:val="en-US" w:eastAsia="zh-CN"/>
        </w:rPr>
        <w:t>所有产品质量安全可靠,每批次按</w:t>
      </w:r>
      <w:r>
        <w:rPr>
          <w:rFonts w:hint="eastAsia" w:ascii="仿宋" w:hAnsi="仿宋" w:eastAsia="仿宋"/>
          <w:sz w:val="22"/>
          <w:szCs w:val="22"/>
          <w:vertAlign w:val="baseline"/>
          <w:lang w:val="en-US" w:eastAsia="zh-CN"/>
        </w:rPr>
        <w:t>买方</w:t>
      </w:r>
      <w:r>
        <w:rPr>
          <w:rFonts w:hint="default" w:ascii="仿宋" w:hAnsi="仿宋" w:eastAsia="仿宋"/>
          <w:sz w:val="22"/>
          <w:szCs w:val="22"/>
          <w:vertAlign w:val="baseline"/>
          <w:lang w:val="en-US" w:eastAsia="zh-CN"/>
        </w:rPr>
        <w:t>要求提供相应证明材料；</w:t>
      </w:r>
    </w:p>
    <w:p w14:paraId="0590A33C">
      <w:pPr>
        <w:numPr>
          <w:ilvl w:val="0"/>
          <w:numId w:val="0"/>
        </w:numPr>
        <w:spacing w:line="520" w:lineRule="exact"/>
        <w:ind w:firstLine="440" w:firstLineChars="20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12、卖方</w:t>
      </w:r>
      <w:r>
        <w:rPr>
          <w:rFonts w:hint="default" w:ascii="仿宋" w:hAnsi="仿宋" w:eastAsia="仿宋"/>
          <w:sz w:val="22"/>
          <w:szCs w:val="22"/>
          <w:vertAlign w:val="baseline"/>
          <w:lang w:val="en-US" w:eastAsia="zh-CN"/>
        </w:rPr>
        <w:t>必须保证</w:t>
      </w:r>
      <w:r>
        <w:rPr>
          <w:rFonts w:hint="eastAsia" w:ascii="仿宋" w:hAnsi="仿宋" w:eastAsia="仿宋"/>
          <w:sz w:val="22"/>
          <w:szCs w:val="22"/>
          <w:vertAlign w:val="baseline"/>
          <w:lang w:val="en-US" w:eastAsia="zh-CN"/>
        </w:rPr>
        <w:t>买方</w:t>
      </w:r>
      <w:r>
        <w:rPr>
          <w:rFonts w:hint="default" w:ascii="仿宋" w:hAnsi="仿宋" w:eastAsia="仿宋"/>
          <w:sz w:val="22"/>
          <w:szCs w:val="22"/>
          <w:vertAlign w:val="baseline"/>
          <w:lang w:val="en-US" w:eastAsia="zh-CN"/>
        </w:rPr>
        <w:t>相关治疗、手术的正常开展，做好耗材（试剂）的足够备货，并做到随时补货，严禁出现因耗材供应的数量不够、型号不全、不及时、质量不合格等情况，不得出现因耗材原因导致工作无法正常按时进行的情况发生。以上情况如发生第一次给予警告、发生第二次扣除货款的10%；发生第三次扣除货款30%，发生四次自动解除采购合同；</w:t>
      </w:r>
    </w:p>
    <w:p w14:paraId="4B282B14">
      <w:pPr>
        <w:numPr>
          <w:ilvl w:val="0"/>
          <w:numId w:val="0"/>
        </w:numPr>
        <w:spacing w:line="520" w:lineRule="exact"/>
        <w:ind w:firstLine="440" w:firstLineChars="20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13、</w:t>
      </w:r>
      <w:r>
        <w:rPr>
          <w:rFonts w:hint="default" w:ascii="仿宋" w:hAnsi="仿宋" w:eastAsia="仿宋"/>
          <w:sz w:val="22"/>
          <w:szCs w:val="22"/>
          <w:vertAlign w:val="baseline"/>
          <w:lang w:val="en-US" w:eastAsia="zh-CN"/>
        </w:rPr>
        <w:t>出现由于产品质量、供货等原因，导致出现治疗、手术效果不佳、医疗投诉、纠纷和事故，由</w:t>
      </w:r>
      <w:r>
        <w:rPr>
          <w:rFonts w:hint="eastAsia" w:ascii="仿宋" w:hAnsi="仿宋" w:eastAsia="仿宋"/>
          <w:sz w:val="22"/>
          <w:szCs w:val="22"/>
          <w:vertAlign w:val="baseline"/>
          <w:lang w:val="en-US" w:eastAsia="zh-CN"/>
        </w:rPr>
        <w:t>卖方</w:t>
      </w:r>
      <w:r>
        <w:rPr>
          <w:rFonts w:hint="default" w:ascii="仿宋" w:hAnsi="仿宋" w:eastAsia="仿宋"/>
          <w:sz w:val="22"/>
          <w:szCs w:val="22"/>
          <w:vertAlign w:val="baseline"/>
          <w:lang w:val="en-US" w:eastAsia="zh-CN"/>
        </w:rPr>
        <w:t xml:space="preserve">承担一切责任； </w:t>
      </w:r>
    </w:p>
    <w:p w14:paraId="0B59FFCB">
      <w:pPr>
        <w:numPr>
          <w:ilvl w:val="0"/>
          <w:numId w:val="0"/>
        </w:num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lang w:val="en-US" w:eastAsia="zh-CN"/>
        </w:rPr>
        <w:t>14、卖方</w:t>
      </w:r>
      <w:r>
        <w:rPr>
          <w:rFonts w:hint="default" w:ascii="仿宋" w:hAnsi="仿宋" w:eastAsia="仿宋"/>
          <w:sz w:val="22"/>
          <w:szCs w:val="22"/>
          <w:vertAlign w:val="baseline"/>
          <w:lang w:val="en-US" w:eastAsia="zh-CN"/>
        </w:rPr>
        <w:t>应确保运输过程中货物完好，根据不同货物特性选择合适运输和储存工具。</w:t>
      </w:r>
    </w:p>
    <w:p w14:paraId="755DF469">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lang w:val="en-US" w:eastAsia="zh-CN"/>
        </w:rPr>
        <w:t>七</w:t>
      </w:r>
      <w:r>
        <w:rPr>
          <w:rFonts w:hint="eastAsia" w:ascii="仿宋" w:hAnsi="仿宋" w:eastAsia="仿宋"/>
          <w:sz w:val="22"/>
          <w:szCs w:val="22"/>
          <w:vertAlign w:val="baseline"/>
        </w:rPr>
        <w:t>、</w:t>
      </w:r>
      <w:r>
        <w:rPr>
          <w:rFonts w:ascii="仿宋" w:hAnsi="仿宋" w:eastAsia="仿宋"/>
          <w:sz w:val="22"/>
          <w:szCs w:val="22"/>
          <w:vertAlign w:val="baseline"/>
        </w:rPr>
        <w:t>货</w:t>
      </w:r>
      <w:r>
        <w:rPr>
          <w:rFonts w:hint="eastAsia" w:ascii="仿宋" w:hAnsi="仿宋" w:eastAsia="仿宋"/>
          <w:sz w:val="22"/>
          <w:szCs w:val="22"/>
          <w:vertAlign w:val="baseline"/>
        </w:rPr>
        <w:t>款</w:t>
      </w:r>
      <w:r>
        <w:rPr>
          <w:rFonts w:ascii="仿宋" w:hAnsi="仿宋" w:eastAsia="仿宋"/>
          <w:sz w:val="22"/>
          <w:szCs w:val="22"/>
          <w:vertAlign w:val="baseline"/>
        </w:rPr>
        <w:t>支付</w:t>
      </w:r>
    </w:p>
    <w:p w14:paraId="10D97877">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1</w:t>
      </w:r>
      <w:r>
        <w:rPr>
          <w:rFonts w:ascii="仿宋" w:hAnsi="仿宋" w:eastAsia="仿宋"/>
          <w:sz w:val="22"/>
          <w:szCs w:val="22"/>
          <w:vertAlign w:val="baseline"/>
        </w:rPr>
        <w:t>.</w:t>
      </w:r>
      <w:r>
        <w:rPr>
          <w:rFonts w:hint="eastAsia" w:ascii="仿宋" w:hAnsi="仿宋" w:eastAsia="仿宋"/>
          <w:sz w:val="22"/>
          <w:szCs w:val="22"/>
          <w:vertAlign w:val="baseline"/>
        </w:rPr>
        <w:t>付款</w:t>
      </w:r>
      <w:r>
        <w:rPr>
          <w:rFonts w:ascii="仿宋" w:hAnsi="仿宋" w:eastAsia="仿宋"/>
          <w:sz w:val="22"/>
          <w:szCs w:val="22"/>
          <w:vertAlign w:val="baseline"/>
        </w:rPr>
        <w:t>方式：</w:t>
      </w:r>
    </w:p>
    <w:p w14:paraId="73131800">
      <w:pPr>
        <w:spacing w:line="360" w:lineRule="auto"/>
        <w:ind w:firstLine="440" w:firstLineChars="200"/>
        <w:jc w:val="left"/>
        <w:rPr>
          <w:rFonts w:ascii="仿宋" w:hAnsi="仿宋" w:eastAsia="仿宋"/>
          <w:sz w:val="22"/>
          <w:szCs w:val="22"/>
          <w:u w:val="single"/>
          <w:vertAlign w:val="baseline"/>
        </w:rPr>
      </w:pPr>
      <w:r>
        <w:rPr>
          <w:rFonts w:hint="eastAsia" w:ascii="仿宋" w:hAnsi="仿宋" w:eastAsia="仿宋"/>
          <w:sz w:val="22"/>
          <w:szCs w:val="22"/>
          <w:u w:val="single"/>
          <w:vertAlign w:val="baseline"/>
        </w:rPr>
        <w:t>买方保证按合同中规定的时间和方式付给卖方到期应付的货款。即按照</w:t>
      </w:r>
      <w:r>
        <w:rPr>
          <w:rFonts w:ascii="仿宋" w:hAnsi="仿宋" w:eastAsia="仿宋"/>
          <w:sz w:val="22"/>
          <w:szCs w:val="22"/>
          <w:u w:val="single"/>
          <w:vertAlign w:val="baseline"/>
        </w:rPr>
        <w:t>医院应付账款账期管理规定支付货款。</w:t>
      </w:r>
    </w:p>
    <w:p w14:paraId="618566E2">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2</w:t>
      </w:r>
      <w:r>
        <w:rPr>
          <w:rFonts w:ascii="仿宋" w:hAnsi="仿宋" w:eastAsia="仿宋"/>
          <w:sz w:val="22"/>
          <w:szCs w:val="21"/>
          <w:vertAlign w:val="baseline"/>
        </w:rPr>
        <w:t>.</w:t>
      </w:r>
      <w:r>
        <w:rPr>
          <w:rFonts w:hint="eastAsia" w:ascii="仿宋" w:hAnsi="仿宋" w:eastAsia="仿宋"/>
          <w:sz w:val="22"/>
          <w:szCs w:val="21"/>
          <w:vertAlign w:val="baseline"/>
        </w:rPr>
        <w:t>双方结算相关信息如下：</w:t>
      </w:r>
    </w:p>
    <w:p w14:paraId="4CF73C89">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（1</w:t>
      </w:r>
      <w:r>
        <w:rPr>
          <w:rFonts w:ascii="仿宋" w:hAnsi="仿宋" w:eastAsia="仿宋"/>
          <w:sz w:val="22"/>
          <w:szCs w:val="21"/>
          <w:vertAlign w:val="baseline"/>
        </w:rPr>
        <w:t>）</w:t>
      </w:r>
      <w:r>
        <w:rPr>
          <w:rFonts w:hint="eastAsia" w:ascii="仿宋" w:hAnsi="仿宋" w:eastAsia="仿宋"/>
          <w:sz w:val="22"/>
          <w:szCs w:val="21"/>
          <w:vertAlign w:val="baseline"/>
        </w:rPr>
        <w:t>买方</w:t>
      </w:r>
    </w:p>
    <w:p w14:paraId="4ED6911F">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 xml:space="preserve">户 </w:t>
      </w:r>
      <w:r>
        <w:rPr>
          <w:rFonts w:ascii="仿宋" w:hAnsi="仿宋" w:eastAsia="仿宋"/>
          <w:sz w:val="22"/>
          <w:szCs w:val="21"/>
          <w:vertAlign w:val="baseline"/>
        </w:rPr>
        <w:t xml:space="preserve">  </w:t>
      </w:r>
      <w:r>
        <w:rPr>
          <w:rFonts w:hint="eastAsia" w:ascii="仿宋" w:hAnsi="仿宋" w:eastAsia="仿宋"/>
          <w:sz w:val="22"/>
          <w:szCs w:val="21"/>
          <w:vertAlign w:val="baseline"/>
        </w:rPr>
        <w:t xml:space="preserve"> 名：青岛市妇女儿童医院</w:t>
      </w:r>
    </w:p>
    <w:p w14:paraId="02BC6052">
      <w:pPr>
        <w:spacing w:line="520" w:lineRule="exact"/>
        <w:ind w:firstLine="440" w:firstLineChars="200"/>
        <w:rPr>
          <w:rFonts w:ascii="仿宋" w:hAnsi="仿宋" w:eastAsia="仿宋"/>
          <w:sz w:val="22"/>
          <w:szCs w:val="21"/>
          <w:u w:val="single"/>
          <w:vertAlign w:val="baseline"/>
        </w:rPr>
      </w:pPr>
      <w:r>
        <w:rPr>
          <w:rFonts w:hint="eastAsia" w:ascii="仿宋" w:hAnsi="仿宋" w:eastAsia="仿宋"/>
          <w:sz w:val="22"/>
          <w:szCs w:val="21"/>
          <w:vertAlign w:val="baseline"/>
        </w:rPr>
        <w:t xml:space="preserve">税 </w:t>
      </w:r>
      <w:r>
        <w:rPr>
          <w:rFonts w:ascii="仿宋" w:hAnsi="仿宋" w:eastAsia="仿宋"/>
          <w:sz w:val="22"/>
          <w:szCs w:val="21"/>
          <w:vertAlign w:val="baseline"/>
        </w:rPr>
        <w:t xml:space="preserve">   </w:t>
      </w:r>
      <w:r>
        <w:rPr>
          <w:rFonts w:hint="eastAsia" w:ascii="仿宋" w:hAnsi="仿宋" w:eastAsia="仿宋"/>
          <w:sz w:val="22"/>
          <w:szCs w:val="21"/>
          <w:vertAlign w:val="baseline"/>
        </w:rPr>
        <w:t>号：</w:t>
      </w:r>
      <w:r>
        <w:rPr>
          <w:rFonts w:ascii="仿宋" w:hAnsi="仿宋" w:eastAsia="仿宋"/>
          <w:sz w:val="22"/>
          <w:szCs w:val="21"/>
          <w:vertAlign w:val="baseline"/>
        </w:rPr>
        <w:t>12370200661274690E</w:t>
      </w:r>
    </w:p>
    <w:p w14:paraId="335A16C0">
      <w:pPr>
        <w:spacing w:line="520" w:lineRule="exact"/>
        <w:ind w:firstLine="440" w:firstLineChars="200"/>
        <w:rPr>
          <w:rFonts w:ascii="仿宋" w:hAnsi="仿宋" w:eastAsia="仿宋"/>
          <w:sz w:val="22"/>
          <w:szCs w:val="21"/>
          <w:u w:val="single"/>
          <w:vertAlign w:val="baseline"/>
        </w:rPr>
      </w:pPr>
      <w:r>
        <w:rPr>
          <w:rFonts w:hint="eastAsia" w:ascii="仿宋" w:hAnsi="仿宋" w:eastAsia="仿宋"/>
          <w:sz w:val="22"/>
          <w:szCs w:val="21"/>
          <w:vertAlign w:val="baseline"/>
        </w:rPr>
        <w:t>开 户 行：中信银行青岛分行</w:t>
      </w:r>
    </w:p>
    <w:p w14:paraId="79CD0CD0">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帐    号：</w:t>
      </w:r>
      <w:r>
        <w:rPr>
          <w:rFonts w:ascii="仿宋" w:hAnsi="仿宋" w:eastAsia="仿宋"/>
          <w:sz w:val="22"/>
          <w:szCs w:val="21"/>
          <w:vertAlign w:val="baseline"/>
        </w:rPr>
        <w:t>7371060183100002807</w:t>
      </w:r>
    </w:p>
    <w:p w14:paraId="165869CC">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地    址：青岛市市北区辽阳西路217号</w:t>
      </w:r>
    </w:p>
    <w:p w14:paraId="59629C5A">
      <w:pPr>
        <w:spacing w:line="520" w:lineRule="exact"/>
        <w:ind w:firstLine="440" w:firstLineChars="200"/>
        <w:rPr>
          <w:rFonts w:hint="eastAsia" w:ascii="仿宋" w:hAnsi="仿宋" w:eastAsia="仿宋"/>
          <w:sz w:val="22"/>
          <w:szCs w:val="21"/>
          <w:vertAlign w:val="baseline"/>
          <w:lang w:eastAsia="zh-CN"/>
        </w:rPr>
      </w:pPr>
      <w:r>
        <w:rPr>
          <w:rFonts w:hint="eastAsia" w:ascii="仿宋" w:hAnsi="仿宋" w:eastAsia="仿宋"/>
          <w:sz w:val="22"/>
          <w:szCs w:val="21"/>
          <w:vertAlign w:val="baseline"/>
        </w:rPr>
        <w:t>联系电话：6866116</w:t>
      </w:r>
      <w:r>
        <w:rPr>
          <w:rFonts w:hint="eastAsia" w:ascii="仿宋" w:hAnsi="仿宋" w:eastAsia="仿宋"/>
          <w:sz w:val="22"/>
          <w:szCs w:val="21"/>
          <w:vertAlign w:val="baseline"/>
          <w:lang w:val="en-US" w:eastAsia="zh-CN"/>
        </w:rPr>
        <w:t>1</w:t>
      </w:r>
    </w:p>
    <w:p w14:paraId="7D38C2C8">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（2</w:t>
      </w:r>
      <w:r>
        <w:rPr>
          <w:rFonts w:ascii="仿宋" w:hAnsi="仿宋" w:eastAsia="仿宋"/>
          <w:sz w:val="22"/>
          <w:szCs w:val="21"/>
          <w:vertAlign w:val="baseline"/>
        </w:rPr>
        <w:t>）</w:t>
      </w:r>
      <w:r>
        <w:rPr>
          <w:rFonts w:hint="eastAsia" w:ascii="仿宋" w:hAnsi="仿宋" w:eastAsia="仿宋"/>
          <w:sz w:val="22"/>
          <w:szCs w:val="21"/>
          <w:vertAlign w:val="baseline"/>
        </w:rPr>
        <w:t>卖方</w:t>
      </w:r>
    </w:p>
    <w:p w14:paraId="56E32CBE">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户</w:t>
      </w:r>
      <w:r>
        <w:rPr>
          <w:rFonts w:ascii="仿宋" w:hAnsi="仿宋" w:eastAsia="仿宋"/>
          <w:sz w:val="22"/>
          <w:szCs w:val="21"/>
          <w:vertAlign w:val="baseline"/>
        </w:rPr>
        <w:t xml:space="preserve">    </w:t>
      </w:r>
      <w:r>
        <w:rPr>
          <w:rFonts w:hint="eastAsia" w:ascii="仿宋" w:hAnsi="仿宋" w:eastAsia="仿宋"/>
          <w:sz w:val="22"/>
          <w:szCs w:val="21"/>
          <w:vertAlign w:val="baseline"/>
        </w:rPr>
        <w:t>名：</w:t>
      </w:r>
    </w:p>
    <w:p w14:paraId="79EDCF23">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开</w:t>
      </w:r>
      <w:r>
        <w:rPr>
          <w:rFonts w:ascii="仿宋" w:hAnsi="仿宋" w:eastAsia="仿宋"/>
          <w:sz w:val="22"/>
          <w:szCs w:val="21"/>
          <w:vertAlign w:val="baseline"/>
        </w:rPr>
        <w:t xml:space="preserve"> </w:t>
      </w:r>
      <w:r>
        <w:rPr>
          <w:rFonts w:hint="eastAsia" w:ascii="仿宋" w:hAnsi="仿宋" w:eastAsia="仿宋"/>
          <w:sz w:val="22"/>
          <w:szCs w:val="21"/>
          <w:vertAlign w:val="baseline"/>
        </w:rPr>
        <w:t>户</w:t>
      </w:r>
      <w:r>
        <w:rPr>
          <w:rFonts w:ascii="仿宋" w:hAnsi="仿宋" w:eastAsia="仿宋"/>
          <w:sz w:val="22"/>
          <w:szCs w:val="21"/>
          <w:vertAlign w:val="baseline"/>
        </w:rPr>
        <w:t xml:space="preserve"> </w:t>
      </w:r>
      <w:r>
        <w:rPr>
          <w:rFonts w:hint="eastAsia" w:ascii="仿宋" w:hAnsi="仿宋" w:eastAsia="仿宋"/>
          <w:sz w:val="22"/>
          <w:szCs w:val="21"/>
          <w:vertAlign w:val="baseline"/>
        </w:rPr>
        <w:t>行：</w:t>
      </w:r>
    </w:p>
    <w:p w14:paraId="3CEB811E">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帐</w:t>
      </w:r>
      <w:r>
        <w:rPr>
          <w:rFonts w:ascii="仿宋" w:hAnsi="仿宋" w:eastAsia="仿宋"/>
          <w:sz w:val="22"/>
          <w:szCs w:val="21"/>
          <w:vertAlign w:val="baseline"/>
        </w:rPr>
        <w:t xml:space="preserve">    </w:t>
      </w:r>
      <w:r>
        <w:rPr>
          <w:rFonts w:hint="eastAsia" w:ascii="仿宋" w:hAnsi="仿宋" w:eastAsia="仿宋"/>
          <w:sz w:val="22"/>
          <w:szCs w:val="21"/>
          <w:vertAlign w:val="baseline"/>
        </w:rPr>
        <w:t>号：</w:t>
      </w:r>
    </w:p>
    <w:p w14:paraId="0C83E8CD">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地</w:t>
      </w:r>
      <w:r>
        <w:rPr>
          <w:rFonts w:ascii="仿宋" w:hAnsi="仿宋" w:eastAsia="仿宋"/>
          <w:sz w:val="22"/>
          <w:szCs w:val="21"/>
          <w:vertAlign w:val="baseline"/>
        </w:rPr>
        <w:t xml:space="preserve">    </w:t>
      </w:r>
      <w:r>
        <w:rPr>
          <w:rFonts w:hint="eastAsia" w:ascii="仿宋" w:hAnsi="仿宋" w:eastAsia="仿宋"/>
          <w:sz w:val="22"/>
          <w:szCs w:val="21"/>
          <w:vertAlign w:val="baseline"/>
        </w:rPr>
        <w:t>址：</w:t>
      </w:r>
    </w:p>
    <w:p w14:paraId="6A93E987">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联</w:t>
      </w:r>
      <w:r>
        <w:rPr>
          <w:rFonts w:ascii="仿宋" w:hAnsi="仿宋" w:eastAsia="仿宋"/>
          <w:sz w:val="22"/>
          <w:szCs w:val="21"/>
          <w:vertAlign w:val="baseline"/>
        </w:rPr>
        <w:t xml:space="preserve"> </w:t>
      </w:r>
      <w:r>
        <w:rPr>
          <w:rFonts w:hint="eastAsia" w:ascii="仿宋" w:hAnsi="仿宋" w:eastAsia="仿宋"/>
          <w:sz w:val="22"/>
          <w:szCs w:val="21"/>
          <w:vertAlign w:val="baseline"/>
        </w:rPr>
        <w:t>系</w:t>
      </w:r>
      <w:r>
        <w:rPr>
          <w:rFonts w:ascii="仿宋" w:hAnsi="仿宋" w:eastAsia="仿宋"/>
          <w:sz w:val="22"/>
          <w:szCs w:val="21"/>
          <w:vertAlign w:val="baseline"/>
        </w:rPr>
        <w:t xml:space="preserve"> </w:t>
      </w:r>
      <w:r>
        <w:rPr>
          <w:rFonts w:hint="eastAsia" w:ascii="仿宋" w:hAnsi="仿宋" w:eastAsia="仿宋"/>
          <w:sz w:val="22"/>
          <w:szCs w:val="21"/>
          <w:vertAlign w:val="baseline"/>
        </w:rPr>
        <w:t>人：</w:t>
      </w:r>
    </w:p>
    <w:p w14:paraId="00E1705D">
      <w:pPr>
        <w:spacing w:line="520" w:lineRule="exact"/>
        <w:ind w:firstLine="440" w:firstLineChars="200"/>
        <w:rPr>
          <w:rFonts w:ascii="仿宋" w:hAnsi="仿宋" w:eastAsia="仿宋"/>
          <w:sz w:val="22"/>
          <w:szCs w:val="21"/>
          <w:u w:val="single"/>
          <w:vertAlign w:val="baseline"/>
        </w:rPr>
      </w:pPr>
      <w:r>
        <w:rPr>
          <w:rFonts w:hint="eastAsia" w:ascii="仿宋" w:hAnsi="仿宋" w:eastAsia="仿宋"/>
          <w:sz w:val="22"/>
          <w:szCs w:val="21"/>
          <w:vertAlign w:val="baseline"/>
        </w:rPr>
        <w:t>联系电话及邮箱：</w:t>
      </w:r>
    </w:p>
    <w:p w14:paraId="199DFA57">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纳税人识别号：</w:t>
      </w:r>
    </w:p>
    <w:p w14:paraId="41F5CFFA">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21"/>
          <w:vertAlign w:val="baseline"/>
        </w:rPr>
        <w:t>3．卖方</w:t>
      </w:r>
      <w:r>
        <w:rPr>
          <w:rFonts w:hint="eastAsia" w:ascii="仿宋" w:hAnsi="仿宋" w:eastAsia="仿宋"/>
          <w:sz w:val="22"/>
          <w:szCs w:val="18"/>
          <w:vertAlign w:val="baseline"/>
        </w:rPr>
        <w:t>的帐户名称、开户银行、银行帐号以本合同提供的为准，如有变更，卖方应在合同规定的相关付款期限之前不</w:t>
      </w:r>
      <w:r>
        <w:rPr>
          <w:rFonts w:ascii="仿宋" w:hAnsi="仿宋" w:eastAsia="仿宋"/>
          <w:sz w:val="22"/>
          <w:szCs w:val="18"/>
          <w:vertAlign w:val="baseline"/>
        </w:rPr>
        <w:t>少于</w:t>
      </w:r>
      <w:r>
        <w:rPr>
          <w:rFonts w:hint="eastAsia" w:ascii="仿宋" w:hAnsi="仿宋" w:eastAsia="仿宋"/>
          <w:sz w:val="22"/>
          <w:szCs w:val="18"/>
          <w:vertAlign w:val="baseline"/>
        </w:rPr>
        <w:t>3个</w:t>
      </w:r>
      <w:r>
        <w:rPr>
          <w:rFonts w:ascii="仿宋" w:hAnsi="仿宋" w:eastAsia="仿宋"/>
          <w:sz w:val="22"/>
          <w:szCs w:val="18"/>
          <w:vertAlign w:val="baseline"/>
        </w:rPr>
        <w:t>工作</w:t>
      </w:r>
      <w:r>
        <w:rPr>
          <w:rFonts w:hint="eastAsia" w:ascii="仿宋" w:hAnsi="仿宋" w:eastAsia="仿宋"/>
          <w:sz w:val="22"/>
          <w:szCs w:val="18"/>
          <w:vertAlign w:val="baseline"/>
        </w:rPr>
        <w:t>日，以加盖财务专用章的书面文件通知买方。</w:t>
      </w:r>
    </w:p>
    <w:p w14:paraId="1EB3C183">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18"/>
          <w:vertAlign w:val="baseline"/>
        </w:rPr>
        <w:t>4．发票</w:t>
      </w:r>
    </w:p>
    <w:p w14:paraId="4D9F774F">
      <w:pPr>
        <w:pStyle w:val="21"/>
        <w:spacing w:line="520" w:lineRule="exact"/>
        <w:rPr>
          <w:rFonts w:ascii="仿宋" w:hAnsi="仿宋" w:eastAsia="仿宋"/>
          <w:sz w:val="22"/>
          <w:szCs w:val="21"/>
          <w:vertAlign w:val="baseline"/>
        </w:rPr>
      </w:pPr>
      <w:r>
        <w:rPr>
          <w:rFonts w:hint="eastAsia" w:ascii="仿宋" w:hAnsi="仿宋" w:eastAsia="仿宋"/>
          <w:sz w:val="22"/>
          <w:szCs w:val="21"/>
          <w:vertAlign w:val="baseline"/>
        </w:rPr>
        <w:t>□ 买方凭卖方出具的税务发票支付本合同项下的货款。卖方应在每一期约定的付款日前将发票送交买方，用以办理相应财政请款手续。</w:t>
      </w:r>
    </w:p>
    <w:p w14:paraId="0E73619E">
      <w:pPr>
        <w:pStyle w:val="6"/>
        <w:spacing w:after="0" w:line="520" w:lineRule="exact"/>
        <w:ind w:left="0" w:leftChars="0" w:firstLine="440" w:firstLineChars="200"/>
        <w:rPr>
          <w:rFonts w:ascii="仿宋" w:hAnsi="仿宋" w:eastAsia="仿宋"/>
          <w:sz w:val="22"/>
          <w:szCs w:val="21"/>
          <w:vertAlign w:val="baseline"/>
        </w:rPr>
      </w:pPr>
      <w:r>
        <w:rPr>
          <w:rFonts w:hint="eastAsia" w:ascii="仿宋" w:hAnsi="仿宋" w:eastAsia="仿宋"/>
          <w:sz w:val="22"/>
          <w:szCs w:val="21"/>
          <w:vertAlign w:val="baseline"/>
        </w:rPr>
        <w:t>□ 卖方在买方支付首付款前先将全额发票送交买方，用以办理相应财政请款手续；并在买方实际支付每一期约定的付款时，提供与本期付款金额相符的收款收据。</w:t>
      </w:r>
    </w:p>
    <w:p w14:paraId="7F6E9617">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lang w:val="en-US" w:eastAsia="zh-CN"/>
        </w:rPr>
        <w:t>八</w:t>
      </w:r>
      <w:r>
        <w:rPr>
          <w:rFonts w:hint="eastAsia" w:ascii="仿宋" w:hAnsi="仿宋" w:eastAsia="仿宋"/>
          <w:sz w:val="22"/>
          <w:szCs w:val="18"/>
          <w:vertAlign w:val="baseline"/>
        </w:rPr>
        <w:t>、货物质量保证</w:t>
      </w:r>
    </w:p>
    <w:p w14:paraId="2FEB11F0">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rPr>
        <w:t>卖方应保证提供给买方的</w:t>
      </w:r>
      <w:r>
        <w:rPr>
          <w:rFonts w:ascii="仿宋" w:hAnsi="仿宋" w:eastAsia="仿宋"/>
          <w:sz w:val="22"/>
          <w:szCs w:val="18"/>
          <w:vertAlign w:val="baseline"/>
        </w:rPr>
        <w:t>耗材</w:t>
      </w:r>
      <w:r>
        <w:rPr>
          <w:rFonts w:hint="eastAsia" w:ascii="仿宋" w:hAnsi="仿宋" w:eastAsia="仿宋"/>
          <w:sz w:val="22"/>
          <w:szCs w:val="18"/>
          <w:vertAlign w:val="baseline"/>
        </w:rPr>
        <w:t>及试剂是用优良的工艺和优质材料制造而成的，符合</w:t>
      </w:r>
      <w:r>
        <w:rPr>
          <w:rFonts w:ascii="仿宋" w:hAnsi="仿宋" w:eastAsia="仿宋"/>
          <w:sz w:val="22"/>
          <w:szCs w:val="18"/>
          <w:vertAlign w:val="baseline"/>
        </w:rPr>
        <w:t>国家标准及</w:t>
      </w:r>
      <w:r>
        <w:rPr>
          <w:rFonts w:hint="eastAsia" w:ascii="仿宋" w:hAnsi="仿宋" w:eastAsia="仿宋"/>
          <w:sz w:val="22"/>
          <w:szCs w:val="18"/>
          <w:vertAlign w:val="baseline"/>
        </w:rPr>
        <w:t>生产</w:t>
      </w:r>
      <w:r>
        <w:rPr>
          <w:rFonts w:ascii="仿宋" w:hAnsi="仿宋" w:eastAsia="仿宋"/>
          <w:sz w:val="22"/>
          <w:szCs w:val="18"/>
          <w:vertAlign w:val="baseline"/>
        </w:rPr>
        <w:t>厂家的出</w:t>
      </w:r>
      <w:r>
        <w:rPr>
          <w:rFonts w:hint="eastAsia" w:ascii="仿宋" w:hAnsi="仿宋" w:eastAsia="仿宋"/>
          <w:sz w:val="22"/>
          <w:szCs w:val="18"/>
          <w:vertAlign w:val="baseline"/>
        </w:rPr>
        <w:t>厂</w:t>
      </w:r>
      <w:r>
        <w:rPr>
          <w:rFonts w:ascii="仿宋" w:hAnsi="仿宋" w:eastAsia="仿宋"/>
          <w:sz w:val="22"/>
          <w:szCs w:val="18"/>
          <w:vertAlign w:val="baseline"/>
        </w:rPr>
        <w:t>合格标准。</w:t>
      </w:r>
    </w:p>
    <w:p w14:paraId="208B9138">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lang w:val="en-US" w:eastAsia="zh-CN"/>
        </w:rPr>
        <w:t>九</w:t>
      </w:r>
      <w:r>
        <w:rPr>
          <w:rFonts w:hint="eastAsia" w:ascii="仿宋" w:hAnsi="仿宋" w:eastAsia="仿宋"/>
          <w:sz w:val="22"/>
          <w:szCs w:val="18"/>
          <w:vertAlign w:val="baseline"/>
        </w:rPr>
        <w:t>、货物</w:t>
      </w:r>
      <w:r>
        <w:rPr>
          <w:rFonts w:ascii="仿宋" w:hAnsi="仿宋" w:eastAsia="仿宋"/>
          <w:sz w:val="22"/>
          <w:szCs w:val="18"/>
          <w:vertAlign w:val="baseline"/>
        </w:rPr>
        <w:t>验收</w:t>
      </w:r>
    </w:p>
    <w:p w14:paraId="286414BC">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rPr>
        <w:t>卖方将货物运至买方指定地点后，</w:t>
      </w:r>
      <w:r>
        <w:rPr>
          <w:rFonts w:ascii="仿宋" w:hAnsi="仿宋" w:eastAsia="仿宋"/>
          <w:sz w:val="22"/>
          <w:szCs w:val="18"/>
          <w:vertAlign w:val="baseline"/>
        </w:rPr>
        <w:t>双方</w:t>
      </w:r>
      <w:r>
        <w:rPr>
          <w:rFonts w:hint="eastAsia" w:ascii="仿宋" w:hAnsi="仿宋" w:eastAsia="仿宋"/>
          <w:sz w:val="22"/>
          <w:szCs w:val="18"/>
          <w:vertAlign w:val="baseline"/>
        </w:rPr>
        <w:t>授权</w:t>
      </w:r>
      <w:r>
        <w:rPr>
          <w:rFonts w:ascii="仿宋" w:hAnsi="仿宋" w:eastAsia="仿宋"/>
          <w:sz w:val="22"/>
          <w:szCs w:val="18"/>
          <w:vertAlign w:val="baseline"/>
        </w:rPr>
        <w:t>代表应</w:t>
      </w:r>
      <w:r>
        <w:rPr>
          <w:rFonts w:hint="eastAsia" w:ascii="仿宋" w:hAnsi="仿宋" w:eastAsia="仿宋"/>
          <w:sz w:val="22"/>
          <w:szCs w:val="18"/>
          <w:vertAlign w:val="baseline"/>
        </w:rPr>
        <w:t>当场对货物</w:t>
      </w:r>
      <w:r>
        <w:rPr>
          <w:rFonts w:ascii="仿宋" w:hAnsi="仿宋" w:eastAsia="仿宋"/>
          <w:sz w:val="22"/>
          <w:szCs w:val="18"/>
          <w:vertAlign w:val="baseline"/>
        </w:rPr>
        <w:t>进行验收，</w:t>
      </w:r>
      <w:r>
        <w:rPr>
          <w:rFonts w:hint="eastAsia" w:ascii="仿宋" w:hAnsi="仿宋" w:eastAsia="仿宋"/>
          <w:sz w:val="22"/>
          <w:szCs w:val="18"/>
          <w:vertAlign w:val="baseline"/>
        </w:rPr>
        <w:t>包括</w:t>
      </w:r>
      <w:r>
        <w:rPr>
          <w:rFonts w:ascii="仿宋" w:hAnsi="仿宋" w:eastAsia="仿宋"/>
          <w:sz w:val="22"/>
          <w:szCs w:val="18"/>
          <w:vertAlign w:val="baseline"/>
        </w:rPr>
        <w:t>外观、数量、包装完好等</w:t>
      </w:r>
      <w:r>
        <w:rPr>
          <w:rFonts w:hint="eastAsia" w:ascii="仿宋" w:hAnsi="仿宋" w:eastAsia="仿宋"/>
          <w:sz w:val="22"/>
          <w:szCs w:val="18"/>
          <w:vertAlign w:val="baseline"/>
        </w:rPr>
        <w:t>。</w:t>
      </w:r>
      <w:r>
        <w:rPr>
          <w:rFonts w:ascii="仿宋" w:hAnsi="仿宋" w:eastAsia="仿宋"/>
          <w:sz w:val="22"/>
          <w:szCs w:val="18"/>
          <w:vertAlign w:val="baseline"/>
        </w:rPr>
        <w:t>验收合格的，双方共同在</w:t>
      </w:r>
      <w:r>
        <w:rPr>
          <w:rFonts w:hint="eastAsia" w:ascii="仿宋" w:hAnsi="仿宋" w:eastAsia="仿宋"/>
          <w:sz w:val="22"/>
          <w:szCs w:val="18"/>
          <w:vertAlign w:val="baseline"/>
        </w:rPr>
        <w:t>《货物</w:t>
      </w:r>
      <w:r>
        <w:rPr>
          <w:rFonts w:ascii="仿宋" w:hAnsi="仿宋" w:eastAsia="仿宋"/>
          <w:sz w:val="22"/>
          <w:szCs w:val="18"/>
          <w:vertAlign w:val="baseline"/>
        </w:rPr>
        <w:t>验收单</w:t>
      </w:r>
      <w:r>
        <w:rPr>
          <w:rFonts w:hint="eastAsia" w:ascii="仿宋" w:hAnsi="仿宋" w:eastAsia="仿宋"/>
          <w:sz w:val="22"/>
          <w:szCs w:val="18"/>
          <w:vertAlign w:val="baseline"/>
        </w:rPr>
        <w:t>》</w:t>
      </w:r>
      <w:r>
        <w:rPr>
          <w:rFonts w:ascii="仿宋" w:hAnsi="仿宋" w:eastAsia="仿宋"/>
          <w:sz w:val="22"/>
          <w:szCs w:val="18"/>
          <w:vertAlign w:val="baseline"/>
        </w:rPr>
        <w:t>上</w:t>
      </w:r>
      <w:r>
        <w:rPr>
          <w:rFonts w:hint="eastAsia" w:ascii="仿宋" w:hAnsi="仿宋" w:eastAsia="仿宋"/>
          <w:sz w:val="22"/>
          <w:szCs w:val="18"/>
          <w:vertAlign w:val="baseline"/>
        </w:rPr>
        <w:t>签字</w:t>
      </w:r>
      <w:r>
        <w:rPr>
          <w:rFonts w:ascii="仿宋" w:hAnsi="仿宋" w:eastAsia="仿宋"/>
          <w:sz w:val="22"/>
          <w:szCs w:val="18"/>
          <w:vertAlign w:val="baseline"/>
        </w:rPr>
        <w:t>确认合格；货物</w:t>
      </w:r>
      <w:r>
        <w:rPr>
          <w:rFonts w:hint="eastAsia" w:ascii="仿宋" w:hAnsi="仿宋" w:eastAsia="仿宋"/>
          <w:sz w:val="22"/>
          <w:szCs w:val="18"/>
          <w:vertAlign w:val="baseline"/>
        </w:rPr>
        <w:t>验收不合格的，</w:t>
      </w:r>
      <w:r>
        <w:rPr>
          <w:rFonts w:ascii="仿宋" w:hAnsi="仿宋" w:eastAsia="仿宋"/>
          <w:sz w:val="22"/>
          <w:szCs w:val="18"/>
          <w:vertAlign w:val="baseline"/>
        </w:rPr>
        <w:t>买方可以拒收</w:t>
      </w:r>
      <w:r>
        <w:rPr>
          <w:rFonts w:hint="eastAsia" w:ascii="仿宋" w:hAnsi="仿宋" w:eastAsia="仿宋"/>
          <w:sz w:val="22"/>
          <w:szCs w:val="18"/>
          <w:vertAlign w:val="baseline"/>
        </w:rPr>
        <w:t>货物。按照买方《医用耗材管理办法》执行。卖方在维护商品信息时要据实维护好有效期、批号等，保证耗材在正常效期内，确保产品质量。近效期及过期产品，卖方应及时免费退换货。</w:t>
      </w:r>
    </w:p>
    <w:p w14:paraId="6B4AE5BD">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lang w:val="en-US" w:eastAsia="zh-CN"/>
        </w:rPr>
        <w:t>十</w:t>
      </w:r>
      <w:r>
        <w:rPr>
          <w:rFonts w:hint="eastAsia" w:ascii="仿宋" w:hAnsi="仿宋" w:eastAsia="仿宋"/>
          <w:sz w:val="22"/>
          <w:szCs w:val="18"/>
          <w:vertAlign w:val="baseline"/>
        </w:rPr>
        <w:t>、</w:t>
      </w:r>
      <w:r>
        <w:rPr>
          <w:rFonts w:ascii="仿宋" w:hAnsi="仿宋" w:eastAsia="仿宋"/>
          <w:sz w:val="22"/>
          <w:szCs w:val="18"/>
          <w:vertAlign w:val="baseline"/>
        </w:rPr>
        <w:t>其</w:t>
      </w:r>
      <w:r>
        <w:rPr>
          <w:rFonts w:hint="eastAsia" w:ascii="仿宋" w:hAnsi="仿宋" w:eastAsia="仿宋"/>
          <w:sz w:val="22"/>
          <w:szCs w:val="18"/>
          <w:vertAlign w:val="baseline"/>
        </w:rPr>
        <w:t>他</w:t>
      </w:r>
    </w:p>
    <w:p w14:paraId="50365DF4">
      <w:pPr>
        <w:spacing w:line="520" w:lineRule="exact"/>
        <w:ind w:firstLine="560"/>
        <w:rPr>
          <w:rFonts w:ascii="仿宋" w:hAnsi="仿宋" w:eastAsia="仿宋"/>
          <w:sz w:val="22"/>
          <w:szCs w:val="18"/>
          <w:vertAlign w:val="baseline"/>
        </w:rPr>
      </w:pPr>
      <w:r>
        <w:rPr>
          <w:rFonts w:hint="eastAsia" w:ascii="仿宋" w:hAnsi="仿宋" w:eastAsia="仿宋"/>
          <w:sz w:val="22"/>
          <w:szCs w:val="18"/>
          <w:vertAlign w:val="baseline"/>
        </w:rPr>
        <w:t>本合同附件“合同通用条款”系本合同组成部分，与本合同具有同等法律效力。</w:t>
      </w:r>
    </w:p>
    <w:p w14:paraId="0309D912">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rPr>
        <w:t>买方向卖方送达通知等，可通过卖方联系人送达。买方向卖方按照以上邮寄的，无论卖方是否收执或查阅审核，均自邮件送达之日为送达之日。</w:t>
      </w:r>
    </w:p>
    <w:p w14:paraId="1BD9555A">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rPr>
        <w:t>十</w:t>
      </w:r>
      <w:r>
        <w:rPr>
          <w:rFonts w:hint="eastAsia" w:ascii="仿宋" w:hAnsi="仿宋" w:eastAsia="仿宋"/>
          <w:sz w:val="22"/>
          <w:szCs w:val="18"/>
          <w:vertAlign w:val="baseline"/>
          <w:lang w:val="en-US" w:eastAsia="zh-CN"/>
        </w:rPr>
        <w:t>一</w:t>
      </w:r>
      <w:r>
        <w:rPr>
          <w:rFonts w:hint="eastAsia" w:ascii="仿宋" w:hAnsi="仿宋" w:eastAsia="仿宋"/>
          <w:sz w:val="22"/>
          <w:szCs w:val="18"/>
          <w:vertAlign w:val="baseline"/>
        </w:rPr>
        <w:t>、</w:t>
      </w:r>
      <w:r>
        <w:rPr>
          <w:rFonts w:ascii="仿宋" w:hAnsi="仿宋" w:eastAsia="仿宋"/>
          <w:sz w:val="22"/>
          <w:szCs w:val="18"/>
          <w:vertAlign w:val="baseline"/>
        </w:rPr>
        <w:t>合同生效</w:t>
      </w:r>
    </w:p>
    <w:p w14:paraId="6462D4AB">
      <w:pPr>
        <w:spacing w:line="520" w:lineRule="exact"/>
        <w:ind w:firstLine="440" w:firstLineChars="200"/>
        <w:rPr>
          <w:rFonts w:ascii="仿宋" w:hAnsi="仿宋" w:eastAsia="仿宋"/>
          <w:sz w:val="22"/>
          <w:szCs w:val="18"/>
          <w:vertAlign w:val="baseline"/>
        </w:rPr>
      </w:pPr>
      <w:r>
        <w:rPr>
          <w:rFonts w:ascii="仿宋" w:hAnsi="仿宋" w:eastAsia="仿宋"/>
          <w:sz w:val="22"/>
          <w:szCs w:val="18"/>
          <w:vertAlign w:val="baseline"/>
        </w:rPr>
        <w:t>本合同一式</w:t>
      </w:r>
      <w:r>
        <w:rPr>
          <w:rFonts w:hint="eastAsia" w:ascii="仿宋" w:hAnsi="仿宋" w:eastAsia="仿宋"/>
          <w:sz w:val="22"/>
          <w:szCs w:val="18"/>
          <w:vertAlign w:val="baseline"/>
        </w:rPr>
        <w:t>五</w:t>
      </w:r>
      <w:r>
        <w:rPr>
          <w:rFonts w:ascii="仿宋" w:hAnsi="仿宋" w:eastAsia="仿宋"/>
          <w:sz w:val="22"/>
          <w:szCs w:val="18"/>
          <w:vertAlign w:val="baseline"/>
        </w:rPr>
        <w:t>份，</w:t>
      </w:r>
      <w:r>
        <w:rPr>
          <w:rFonts w:hint="eastAsia" w:ascii="仿宋" w:hAnsi="仿宋" w:eastAsia="仿宋"/>
          <w:sz w:val="22"/>
          <w:szCs w:val="18"/>
          <w:vertAlign w:val="baseline"/>
        </w:rPr>
        <w:t>其中买方执有四份，卖方执有一份，</w:t>
      </w:r>
      <w:r>
        <w:rPr>
          <w:rFonts w:ascii="仿宋" w:hAnsi="仿宋" w:eastAsia="仿宋"/>
          <w:sz w:val="22"/>
          <w:szCs w:val="18"/>
          <w:vertAlign w:val="baseline"/>
        </w:rPr>
        <w:t>经双方</w:t>
      </w:r>
      <w:r>
        <w:rPr>
          <w:rFonts w:hint="eastAsia" w:ascii="仿宋" w:hAnsi="仿宋" w:eastAsia="仿宋"/>
          <w:sz w:val="22"/>
          <w:szCs w:val="18"/>
          <w:vertAlign w:val="baseline"/>
        </w:rPr>
        <w:t>法定</w:t>
      </w:r>
      <w:r>
        <w:rPr>
          <w:rFonts w:ascii="仿宋" w:hAnsi="仿宋" w:eastAsia="仿宋"/>
          <w:sz w:val="22"/>
          <w:szCs w:val="18"/>
          <w:vertAlign w:val="baseline"/>
        </w:rPr>
        <w:t>代表人或者委托</w:t>
      </w:r>
      <w:r>
        <w:rPr>
          <w:rFonts w:hint="eastAsia" w:ascii="仿宋" w:hAnsi="仿宋" w:eastAsia="仿宋"/>
          <w:sz w:val="22"/>
          <w:szCs w:val="18"/>
          <w:vertAlign w:val="baseline"/>
        </w:rPr>
        <w:t>代表</w:t>
      </w:r>
      <w:r>
        <w:rPr>
          <w:rFonts w:ascii="仿宋" w:hAnsi="仿宋" w:eastAsia="仿宋"/>
          <w:sz w:val="22"/>
          <w:szCs w:val="18"/>
          <w:vertAlign w:val="baseline"/>
        </w:rPr>
        <w:t>人签字并加盖单位公章之日起生效</w:t>
      </w:r>
      <w:r>
        <w:rPr>
          <w:rFonts w:hint="eastAsia" w:ascii="仿宋" w:hAnsi="仿宋" w:eastAsia="仿宋"/>
          <w:sz w:val="22"/>
          <w:szCs w:val="18"/>
          <w:vertAlign w:val="baseline"/>
        </w:rPr>
        <w:t>。</w:t>
      </w:r>
    </w:p>
    <w:p w14:paraId="462BEBFB">
      <w:pPr>
        <w:spacing w:line="520" w:lineRule="exact"/>
        <w:ind w:firstLine="440" w:firstLineChars="200"/>
        <w:rPr>
          <w:rFonts w:ascii="仿宋" w:hAnsi="仿宋" w:eastAsia="仿宋"/>
          <w:sz w:val="22"/>
          <w:szCs w:val="18"/>
          <w:vertAlign w:val="baseline"/>
        </w:rPr>
      </w:pPr>
    </w:p>
    <w:p w14:paraId="6D14460D">
      <w:pPr>
        <w:pStyle w:val="2"/>
        <w:rPr>
          <w:sz w:val="21"/>
          <w:szCs w:val="21"/>
          <w:vertAlign w:val="baseline"/>
        </w:rPr>
      </w:pPr>
    </w:p>
    <w:tbl>
      <w:tblPr>
        <w:tblStyle w:val="11"/>
        <w:tblW w:w="8508" w:type="dxa"/>
        <w:jc w:val="center"/>
        <w:tblLayout w:type="fixed"/>
        <w:tblCellMar>
          <w:top w:w="0" w:type="dxa"/>
          <w:left w:w="108" w:type="dxa"/>
          <w:bottom w:w="0" w:type="dxa"/>
          <w:right w:w="108" w:type="dxa"/>
        </w:tblCellMar>
      </w:tblPr>
      <w:tblGrid>
        <w:gridCol w:w="4511"/>
        <w:gridCol w:w="3997"/>
      </w:tblGrid>
      <w:tr w14:paraId="629EB4B1">
        <w:tblPrEx>
          <w:tblCellMar>
            <w:top w:w="0" w:type="dxa"/>
            <w:left w:w="108" w:type="dxa"/>
            <w:bottom w:w="0" w:type="dxa"/>
            <w:right w:w="108" w:type="dxa"/>
          </w:tblCellMar>
        </w:tblPrEx>
        <w:trPr>
          <w:cantSplit/>
          <w:jc w:val="center"/>
        </w:trPr>
        <w:tc>
          <w:tcPr>
            <w:tcW w:w="4511" w:type="dxa"/>
            <w:vAlign w:val="bottom"/>
          </w:tcPr>
          <w:p w14:paraId="2836037F">
            <w:pPr>
              <w:snapToGrid w:val="0"/>
              <w:spacing w:line="520" w:lineRule="exact"/>
              <w:rPr>
                <w:rFonts w:ascii="仿宋" w:hAnsi="仿宋" w:eastAsia="仿宋"/>
                <w:sz w:val="22"/>
                <w:szCs w:val="21"/>
                <w:vertAlign w:val="baseline"/>
              </w:rPr>
            </w:pPr>
            <w:r>
              <w:rPr>
                <w:rFonts w:hint="eastAsia" w:ascii="仿宋" w:hAnsi="仿宋" w:eastAsia="仿宋"/>
                <w:sz w:val="22"/>
                <w:szCs w:val="21"/>
                <w:vertAlign w:val="baseline"/>
              </w:rPr>
              <w:t>买方（盖章）：</w:t>
            </w:r>
          </w:p>
          <w:p w14:paraId="25790C34">
            <w:pPr>
              <w:pStyle w:val="2"/>
              <w:rPr>
                <w:sz w:val="21"/>
                <w:szCs w:val="21"/>
                <w:vertAlign w:val="baseline"/>
              </w:rPr>
            </w:pPr>
          </w:p>
          <w:p w14:paraId="290AF5C7">
            <w:pPr>
              <w:pStyle w:val="2"/>
              <w:rPr>
                <w:sz w:val="21"/>
                <w:szCs w:val="21"/>
                <w:vertAlign w:val="baseline"/>
              </w:rPr>
            </w:pPr>
          </w:p>
          <w:p w14:paraId="262561F7">
            <w:pPr>
              <w:snapToGrid w:val="0"/>
              <w:spacing w:line="520" w:lineRule="exact"/>
              <w:rPr>
                <w:rFonts w:ascii="仿宋" w:hAnsi="仿宋" w:eastAsia="仿宋"/>
                <w:sz w:val="22"/>
                <w:szCs w:val="21"/>
                <w:vertAlign w:val="baseline"/>
              </w:rPr>
            </w:pPr>
          </w:p>
        </w:tc>
        <w:tc>
          <w:tcPr>
            <w:tcW w:w="3997" w:type="dxa"/>
            <w:vAlign w:val="bottom"/>
          </w:tcPr>
          <w:p w14:paraId="516C64C5">
            <w:pPr>
              <w:snapToGrid w:val="0"/>
              <w:spacing w:line="520" w:lineRule="exact"/>
              <w:rPr>
                <w:rFonts w:ascii="仿宋" w:hAnsi="仿宋" w:eastAsia="仿宋"/>
                <w:sz w:val="22"/>
                <w:szCs w:val="21"/>
                <w:vertAlign w:val="baseline"/>
              </w:rPr>
            </w:pPr>
            <w:r>
              <w:rPr>
                <w:rFonts w:hint="eastAsia" w:ascii="仿宋" w:hAnsi="仿宋" w:eastAsia="仿宋"/>
                <w:sz w:val="22"/>
                <w:szCs w:val="21"/>
                <w:vertAlign w:val="baseline"/>
              </w:rPr>
              <w:t>卖方（盖章）：</w:t>
            </w:r>
          </w:p>
          <w:p w14:paraId="608F0B89">
            <w:pPr>
              <w:pStyle w:val="2"/>
              <w:rPr>
                <w:sz w:val="21"/>
                <w:szCs w:val="21"/>
                <w:vertAlign w:val="baseline"/>
              </w:rPr>
            </w:pPr>
          </w:p>
          <w:p w14:paraId="27F2380C">
            <w:pPr>
              <w:pStyle w:val="2"/>
              <w:rPr>
                <w:sz w:val="21"/>
                <w:szCs w:val="21"/>
                <w:vertAlign w:val="baseline"/>
              </w:rPr>
            </w:pPr>
          </w:p>
          <w:p w14:paraId="2CFEC3A4">
            <w:pPr>
              <w:snapToGrid w:val="0"/>
              <w:spacing w:line="520" w:lineRule="exact"/>
              <w:ind w:firstLine="440" w:firstLineChars="200"/>
              <w:rPr>
                <w:rFonts w:ascii="仿宋" w:hAnsi="仿宋" w:eastAsia="仿宋"/>
                <w:sz w:val="22"/>
                <w:szCs w:val="21"/>
                <w:vertAlign w:val="baseline"/>
              </w:rPr>
            </w:pPr>
          </w:p>
        </w:tc>
      </w:tr>
      <w:tr w14:paraId="4104E092">
        <w:tblPrEx>
          <w:tblCellMar>
            <w:top w:w="0" w:type="dxa"/>
            <w:left w:w="108" w:type="dxa"/>
            <w:bottom w:w="0" w:type="dxa"/>
            <w:right w:w="108" w:type="dxa"/>
          </w:tblCellMar>
        </w:tblPrEx>
        <w:trPr>
          <w:cantSplit/>
          <w:jc w:val="center"/>
        </w:trPr>
        <w:tc>
          <w:tcPr>
            <w:tcW w:w="4511" w:type="dxa"/>
            <w:vAlign w:val="bottom"/>
          </w:tcPr>
          <w:p w14:paraId="6E331FF8">
            <w:pPr>
              <w:snapToGrid w:val="0"/>
              <w:spacing w:line="520" w:lineRule="exact"/>
              <w:rPr>
                <w:rFonts w:ascii="仿宋" w:hAnsi="仿宋" w:eastAsia="仿宋"/>
                <w:sz w:val="22"/>
                <w:szCs w:val="21"/>
                <w:vertAlign w:val="baseline"/>
              </w:rPr>
            </w:pPr>
            <w:r>
              <w:rPr>
                <w:rFonts w:hint="eastAsia" w:ascii="仿宋" w:hAnsi="仿宋" w:eastAsia="仿宋"/>
                <w:sz w:val="22"/>
                <w:szCs w:val="21"/>
                <w:vertAlign w:val="baseline"/>
              </w:rPr>
              <w:t>法定代表人（负责人）或</w:t>
            </w:r>
          </w:p>
          <w:p w14:paraId="4BE1FC6B">
            <w:pPr>
              <w:snapToGrid w:val="0"/>
              <w:spacing w:line="520" w:lineRule="exact"/>
              <w:rPr>
                <w:rFonts w:ascii="仿宋" w:hAnsi="仿宋" w:eastAsia="仿宋"/>
                <w:sz w:val="22"/>
                <w:szCs w:val="21"/>
                <w:vertAlign w:val="baseline"/>
              </w:rPr>
            </w:pPr>
            <w:r>
              <w:rPr>
                <w:rFonts w:hint="eastAsia" w:ascii="仿宋" w:hAnsi="仿宋" w:eastAsia="仿宋"/>
                <w:sz w:val="22"/>
                <w:szCs w:val="21"/>
                <w:vertAlign w:val="baseline"/>
              </w:rPr>
              <w:t>授权代表（签字）：</w:t>
            </w:r>
          </w:p>
        </w:tc>
        <w:tc>
          <w:tcPr>
            <w:tcW w:w="3997" w:type="dxa"/>
            <w:vAlign w:val="bottom"/>
          </w:tcPr>
          <w:p w14:paraId="5CE86E26">
            <w:pPr>
              <w:snapToGrid w:val="0"/>
              <w:spacing w:line="520" w:lineRule="exact"/>
              <w:rPr>
                <w:rFonts w:ascii="仿宋" w:hAnsi="仿宋" w:eastAsia="仿宋"/>
                <w:sz w:val="22"/>
                <w:szCs w:val="21"/>
                <w:vertAlign w:val="baseline"/>
              </w:rPr>
            </w:pPr>
            <w:r>
              <w:rPr>
                <w:rFonts w:hint="eastAsia" w:ascii="仿宋" w:hAnsi="仿宋" w:eastAsia="仿宋"/>
                <w:sz w:val="22"/>
                <w:szCs w:val="21"/>
                <w:vertAlign w:val="baseline"/>
              </w:rPr>
              <w:t>法定代表人（负责人）或</w:t>
            </w:r>
          </w:p>
          <w:p w14:paraId="388FBD41">
            <w:pPr>
              <w:snapToGrid w:val="0"/>
              <w:spacing w:line="520" w:lineRule="exact"/>
              <w:rPr>
                <w:rFonts w:ascii="仿宋" w:hAnsi="仿宋" w:eastAsia="仿宋"/>
                <w:sz w:val="22"/>
                <w:szCs w:val="21"/>
                <w:vertAlign w:val="baseline"/>
              </w:rPr>
            </w:pPr>
            <w:r>
              <w:rPr>
                <w:rFonts w:hint="eastAsia" w:ascii="仿宋" w:hAnsi="仿宋" w:eastAsia="仿宋"/>
                <w:sz w:val="22"/>
                <w:szCs w:val="21"/>
                <w:vertAlign w:val="baseline"/>
              </w:rPr>
              <w:t>授权代表（签字）：</w:t>
            </w:r>
          </w:p>
        </w:tc>
      </w:tr>
    </w:tbl>
    <w:p w14:paraId="2198732B">
      <w:pPr>
        <w:ind w:firstLine="220" w:firstLineChars="100"/>
        <w:rPr>
          <w:rFonts w:hint="eastAsia" w:ascii="仿宋" w:hAnsi="仿宋" w:eastAsia="仿宋"/>
          <w:sz w:val="22"/>
          <w:szCs w:val="21"/>
          <w:vertAlign w:val="baseline"/>
          <w:lang w:eastAsia="zh-CN"/>
        </w:rPr>
      </w:pPr>
      <w:r>
        <w:rPr>
          <w:rFonts w:hint="eastAsia" w:ascii="仿宋" w:hAnsi="仿宋" w:eastAsia="仿宋"/>
          <w:sz w:val="22"/>
          <w:szCs w:val="22"/>
          <w:vertAlign w:val="baseline"/>
        </w:rPr>
        <w:t>日期</w:t>
      </w:r>
      <w:r>
        <w:rPr>
          <w:rFonts w:hint="eastAsia" w:ascii="仿宋" w:hAnsi="仿宋" w:eastAsia="仿宋"/>
          <w:sz w:val="22"/>
          <w:szCs w:val="22"/>
          <w:vertAlign w:val="baseline"/>
          <w:lang w:eastAsia="zh-CN"/>
        </w:rPr>
        <w:t>：</w:t>
      </w:r>
      <w:r>
        <w:rPr>
          <w:rFonts w:hint="eastAsia" w:ascii="仿宋" w:hAnsi="仿宋" w:eastAsia="仿宋"/>
          <w:sz w:val="22"/>
          <w:szCs w:val="21"/>
          <w:vertAlign w:val="baseline"/>
        </w:rPr>
        <w:t xml:space="preserve">         </w:t>
      </w:r>
      <w:r>
        <w:rPr>
          <w:rFonts w:ascii="仿宋" w:hAnsi="仿宋" w:eastAsia="仿宋"/>
          <w:sz w:val="22"/>
          <w:szCs w:val="21"/>
          <w:vertAlign w:val="baseline"/>
        </w:rPr>
        <w:t xml:space="preserve">  </w:t>
      </w:r>
      <w:r>
        <w:rPr>
          <w:rFonts w:hint="eastAsia" w:ascii="仿宋" w:hAnsi="仿宋" w:eastAsia="仿宋"/>
          <w:sz w:val="22"/>
          <w:szCs w:val="21"/>
          <w:vertAlign w:val="baseline"/>
          <w:lang w:eastAsia="zh-CN"/>
        </w:rPr>
        <w:t>　　　　　　　　</w:t>
      </w:r>
      <w:r>
        <w:rPr>
          <w:rFonts w:hint="eastAsia" w:ascii="仿宋" w:hAnsi="仿宋" w:eastAsia="仿宋"/>
          <w:sz w:val="22"/>
          <w:szCs w:val="22"/>
          <w:vertAlign w:val="baseline"/>
        </w:rPr>
        <w:t>日期</w:t>
      </w:r>
      <w:r>
        <w:rPr>
          <w:rFonts w:hint="eastAsia" w:ascii="仿宋" w:hAnsi="仿宋" w:eastAsia="仿宋"/>
          <w:sz w:val="22"/>
          <w:szCs w:val="22"/>
          <w:vertAlign w:val="baseline"/>
          <w:lang w:eastAsia="zh-CN"/>
        </w:rPr>
        <w:t>：</w:t>
      </w:r>
    </w:p>
    <w:p w14:paraId="29F55D00">
      <w:pPr>
        <w:jc w:val="center"/>
        <w:rPr>
          <w:rFonts w:ascii="仿宋" w:hAnsi="仿宋" w:eastAsia="仿宋"/>
          <w:b/>
          <w:sz w:val="36"/>
          <w:szCs w:val="32"/>
        </w:rPr>
      </w:pPr>
    </w:p>
    <w:p w14:paraId="0BB1B6F2">
      <w:pPr>
        <w:jc w:val="center"/>
        <w:rPr>
          <w:rFonts w:ascii="仿宋" w:hAnsi="仿宋" w:eastAsia="仿宋"/>
          <w:b/>
          <w:sz w:val="36"/>
          <w:szCs w:val="32"/>
        </w:rPr>
      </w:pPr>
    </w:p>
    <w:p w14:paraId="6B35CF7B">
      <w:pPr>
        <w:pStyle w:val="2"/>
        <w:ind w:firstLine="723"/>
        <w:rPr>
          <w:rFonts w:ascii="仿宋" w:hAnsi="仿宋" w:eastAsia="仿宋"/>
          <w:b/>
          <w:sz w:val="36"/>
          <w:szCs w:val="32"/>
        </w:rPr>
      </w:pPr>
    </w:p>
    <w:p w14:paraId="7C74948D">
      <w:pPr>
        <w:pStyle w:val="2"/>
        <w:ind w:firstLine="723"/>
        <w:rPr>
          <w:rFonts w:ascii="仿宋" w:hAnsi="仿宋" w:eastAsia="仿宋"/>
          <w:b/>
          <w:sz w:val="36"/>
          <w:szCs w:val="32"/>
        </w:rPr>
      </w:pPr>
    </w:p>
    <w:p w14:paraId="46399AE2">
      <w:pPr>
        <w:pStyle w:val="2"/>
        <w:ind w:firstLine="723"/>
        <w:rPr>
          <w:rFonts w:ascii="仿宋" w:hAnsi="仿宋" w:eastAsia="仿宋"/>
          <w:b/>
          <w:sz w:val="36"/>
          <w:szCs w:val="32"/>
        </w:rPr>
      </w:pPr>
    </w:p>
    <w:p w14:paraId="7CBA8DED">
      <w:pPr>
        <w:rPr>
          <w:rFonts w:ascii="仿宋" w:hAnsi="仿宋" w:eastAsia="仿宋"/>
          <w:b/>
          <w:sz w:val="36"/>
          <w:szCs w:val="32"/>
        </w:rPr>
      </w:pPr>
    </w:p>
    <w:p w14:paraId="12C11A20">
      <w:pPr>
        <w:pStyle w:val="2"/>
        <w:rPr>
          <w:rFonts w:ascii="仿宋" w:hAnsi="仿宋" w:eastAsia="仿宋"/>
          <w:b/>
          <w:sz w:val="36"/>
          <w:szCs w:val="32"/>
        </w:rPr>
      </w:pPr>
    </w:p>
    <w:p w14:paraId="11B01FF0">
      <w:pPr>
        <w:pStyle w:val="2"/>
        <w:rPr>
          <w:rFonts w:ascii="仿宋" w:hAnsi="仿宋" w:eastAsia="仿宋"/>
          <w:b/>
          <w:sz w:val="36"/>
          <w:szCs w:val="32"/>
        </w:rPr>
      </w:pPr>
    </w:p>
    <w:p w14:paraId="388D9721">
      <w:pPr>
        <w:pStyle w:val="2"/>
        <w:rPr>
          <w:rFonts w:ascii="仿宋" w:hAnsi="仿宋" w:eastAsia="仿宋"/>
          <w:b/>
          <w:sz w:val="36"/>
          <w:szCs w:val="32"/>
        </w:rPr>
      </w:pPr>
    </w:p>
    <w:p w14:paraId="6E0FEFA7">
      <w:pPr>
        <w:pStyle w:val="2"/>
        <w:rPr>
          <w:rFonts w:ascii="仿宋" w:hAnsi="仿宋" w:eastAsia="仿宋"/>
          <w:b/>
          <w:sz w:val="36"/>
          <w:szCs w:val="32"/>
        </w:rPr>
      </w:pPr>
    </w:p>
    <w:p w14:paraId="3026450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8"/>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5"/>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8"/>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8"/>
      <w:framePr w:wrap="around" w:vAnchor="text" w:hAnchor="margin" w:xAlign="center" w:y="1"/>
      <w:rPr>
        <w:rStyle w:val="14"/>
      </w:rPr>
    </w:pPr>
    <w:r>
      <w:fldChar w:fldCharType="begin"/>
    </w:r>
    <w:r>
      <w:rPr>
        <w:rStyle w:val="14"/>
      </w:rPr>
      <w:instrText xml:space="preserve">PAGE  </w:instrText>
    </w:r>
    <w:r>
      <w:fldChar w:fldCharType="end"/>
    </w:r>
  </w:p>
  <w:p w14:paraId="0A5C1A31">
    <w:pPr>
      <w:pStyle w:val="8"/>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5"/>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5"/>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8"/>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2D733F"/>
    <w:multiLevelType w:val="singleLevel"/>
    <w:tmpl w:val="852D733F"/>
    <w:lvl w:ilvl="0" w:tentative="0">
      <w:start w:val="6"/>
      <w:numFmt w:val="chineseCounting"/>
      <w:suff w:val="nothing"/>
      <w:lvlText w:val="%1、"/>
      <w:lvlJc w:val="left"/>
      <w:rPr>
        <w:rFonts w:hint="eastAsia"/>
      </w:rPr>
    </w:lvl>
  </w:abstractNum>
  <w:abstractNum w:abstractNumId="1">
    <w:nsid w:val="A3B15FBF"/>
    <w:multiLevelType w:val="singleLevel"/>
    <w:tmpl w:val="A3B15FBF"/>
    <w:lvl w:ilvl="0" w:tentative="0">
      <w:start w:val="1"/>
      <w:numFmt w:val="decimal"/>
      <w:suff w:val="nothing"/>
      <w:lvlText w:val="%1、"/>
      <w:lvlJc w:val="left"/>
    </w:lvl>
  </w:abstractNum>
  <w:abstractNum w:abstractNumId="2">
    <w:nsid w:val="B1EA27C9"/>
    <w:multiLevelType w:val="singleLevel"/>
    <w:tmpl w:val="B1EA27C9"/>
    <w:lvl w:ilvl="0" w:tentative="0">
      <w:start w:val="1"/>
      <w:numFmt w:val="decimal"/>
      <w:suff w:val="nothing"/>
      <w:lvlText w:val="%1、"/>
      <w:lvlJc w:val="left"/>
    </w:lvl>
  </w:abstractNum>
  <w:abstractNum w:abstractNumId="3">
    <w:nsid w:val="B769E92F"/>
    <w:multiLevelType w:val="singleLevel"/>
    <w:tmpl w:val="B769E92F"/>
    <w:lvl w:ilvl="0" w:tentative="0">
      <w:start w:val="1"/>
      <w:numFmt w:val="decimal"/>
      <w:suff w:val="nothing"/>
      <w:lvlText w:val="%1、"/>
      <w:lvlJc w:val="left"/>
      <w:rPr>
        <w:rFonts w:hint="default"/>
        <w:vertAlign w:val="baseline"/>
      </w:rPr>
    </w:lvl>
  </w:abstractNum>
  <w:abstractNum w:abstractNumId="4">
    <w:nsid w:val="BC74A755"/>
    <w:multiLevelType w:val="singleLevel"/>
    <w:tmpl w:val="BC74A755"/>
    <w:lvl w:ilvl="0" w:tentative="0">
      <w:start w:val="1"/>
      <w:numFmt w:val="decimal"/>
      <w:suff w:val="nothing"/>
      <w:lvlText w:val="%1、"/>
      <w:lvlJc w:val="left"/>
    </w:lvl>
  </w:abstractNum>
  <w:abstractNum w:abstractNumId="5">
    <w:nsid w:val="E01792C7"/>
    <w:multiLevelType w:val="singleLevel"/>
    <w:tmpl w:val="E01792C7"/>
    <w:lvl w:ilvl="0" w:tentative="0">
      <w:start w:val="1"/>
      <w:numFmt w:val="decimal"/>
      <w:suff w:val="nothing"/>
      <w:lvlText w:val="%1、"/>
      <w:lvlJc w:val="left"/>
    </w:lvl>
  </w:abstractNum>
  <w:abstractNum w:abstractNumId="6">
    <w:nsid w:val="E0A351FD"/>
    <w:multiLevelType w:val="singleLevel"/>
    <w:tmpl w:val="E0A351FD"/>
    <w:lvl w:ilvl="0" w:tentative="0">
      <w:start w:val="2"/>
      <w:numFmt w:val="chineseCounting"/>
      <w:suff w:val="space"/>
      <w:lvlText w:val="第%1章"/>
      <w:lvlJc w:val="left"/>
      <w:rPr>
        <w:rFonts w:hint="eastAsia"/>
      </w:rPr>
    </w:lvl>
  </w:abstractNum>
  <w:abstractNum w:abstractNumId="7">
    <w:nsid w:val="02747405"/>
    <w:multiLevelType w:val="singleLevel"/>
    <w:tmpl w:val="02747405"/>
    <w:lvl w:ilvl="0" w:tentative="0">
      <w:start w:val="1"/>
      <w:numFmt w:val="decimal"/>
      <w:suff w:val="nothing"/>
      <w:lvlText w:val="%1、"/>
      <w:lvlJc w:val="left"/>
      <w:rPr>
        <w:rFonts w:hint="default"/>
        <w:vertAlign w:val="baseline"/>
      </w:rPr>
    </w:lvl>
  </w:abstractNum>
  <w:abstractNum w:abstractNumId="8">
    <w:nsid w:val="18D75560"/>
    <w:multiLevelType w:val="singleLevel"/>
    <w:tmpl w:val="18D75560"/>
    <w:lvl w:ilvl="0" w:tentative="0">
      <w:start w:val="1"/>
      <w:numFmt w:val="decimal"/>
      <w:suff w:val="nothing"/>
      <w:lvlText w:val="%1、"/>
      <w:lvlJc w:val="left"/>
    </w:lvl>
  </w:abstractNum>
  <w:abstractNum w:abstractNumId="9">
    <w:nsid w:val="24FA49B4"/>
    <w:multiLevelType w:val="singleLevel"/>
    <w:tmpl w:val="24FA49B4"/>
    <w:lvl w:ilvl="0" w:tentative="0">
      <w:start w:val="1"/>
      <w:numFmt w:val="decimal"/>
      <w:suff w:val="nothing"/>
      <w:lvlText w:val="%1、"/>
      <w:lvlJc w:val="left"/>
    </w:lvl>
  </w:abstractNum>
  <w:abstractNum w:abstractNumId="10">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1">
    <w:nsid w:val="3D2DD54D"/>
    <w:multiLevelType w:val="singleLevel"/>
    <w:tmpl w:val="3D2DD54D"/>
    <w:lvl w:ilvl="0" w:tentative="0">
      <w:start w:val="2"/>
      <w:numFmt w:val="decimal"/>
      <w:lvlText w:val="%1."/>
      <w:lvlJc w:val="left"/>
      <w:pPr>
        <w:tabs>
          <w:tab w:val="left" w:pos="312"/>
        </w:tabs>
      </w:pPr>
    </w:lvl>
  </w:abstractNum>
  <w:abstractNum w:abstractNumId="12">
    <w:nsid w:val="4B06903A"/>
    <w:multiLevelType w:val="singleLevel"/>
    <w:tmpl w:val="4B06903A"/>
    <w:lvl w:ilvl="0" w:tentative="0">
      <w:start w:val="1"/>
      <w:numFmt w:val="decimal"/>
      <w:suff w:val="nothing"/>
      <w:lvlText w:val="%1、"/>
      <w:lvlJc w:val="left"/>
    </w:lvl>
  </w:abstractNum>
  <w:abstractNum w:abstractNumId="13">
    <w:nsid w:val="7622798B"/>
    <w:multiLevelType w:val="singleLevel"/>
    <w:tmpl w:val="7622798B"/>
    <w:lvl w:ilvl="0" w:tentative="0">
      <w:start w:val="1"/>
      <w:numFmt w:val="decimal"/>
      <w:suff w:val="nothing"/>
      <w:lvlText w:val="%1、"/>
      <w:lvlJc w:val="left"/>
    </w:lvl>
  </w:abstractNum>
  <w:num w:numId="1">
    <w:abstractNumId w:val="10"/>
  </w:num>
  <w:num w:numId="2">
    <w:abstractNumId w:val="6"/>
  </w:num>
  <w:num w:numId="3">
    <w:abstractNumId w:val="13"/>
  </w:num>
  <w:num w:numId="4">
    <w:abstractNumId w:val="9"/>
  </w:num>
  <w:num w:numId="5">
    <w:abstractNumId w:val="8"/>
  </w:num>
  <w:num w:numId="6">
    <w:abstractNumId w:val="12"/>
  </w:num>
  <w:num w:numId="7">
    <w:abstractNumId w:val="5"/>
  </w:num>
  <w:num w:numId="8">
    <w:abstractNumId w:val="2"/>
  </w:num>
  <w:num w:numId="9">
    <w:abstractNumId w:val="1"/>
  </w:num>
  <w:num w:numId="10">
    <w:abstractNumId w:val="3"/>
  </w:num>
  <w:num w:numId="11">
    <w:abstractNumId w:val="7"/>
  </w:num>
  <w:num w:numId="12">
    <w:abstractNumId w:val="11"/>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3280BD3"/>
    <w:rsid w:val="052D3B24"/>
    <w:rsid w:val="0715148C"/>
    <w:rsid w:val="08E053FD"/>
    <w:rsid w:val="0B3C188E"/>
    <w:rsid w:val="0B603E17"/>
    <w:rsid w:val="0B996D04"/>
    <w:rsid w:val="0BC41F21"/>
    <w:rsid w:val="110C12EC"/>
    <w:rsid w:val="12040D82"/>
    <w:rsid w:val="124D331C"/>
    <w:rsid w:val="12883575"/>
    <w:rsid w:val="12D55D1E"/>
    <w:rsid w:val="14C76F80"/>
    <w:rsid w:val="15E12F09"/>
    <w:rsid w:val="193E2DCB"/>
    <w:rsid w:val="198F2D53"/>
    <w:rsid w:val="1A66082C"/>
    <w:rsid w:val="1A9A51D3"/>
    <w:rsid w:val="1AFD138A"/>
    <w:rsid w:val="1B6C7A0E"/>
    <w:rsid w:val="1EE838F2"/>
    <w:rsid w:val="21685914"/>
    <w:rsid w:val="21AF6C10"/>
    <w:rsid w:val="23E72ABF"/>
    <w:rsid w:val="26083FB3"/>
    <w:rsid w:val="270B08D2"/>
    <w:rsid w:val="27756723"/>
    <w:rsid w:val="279D1605"/>
    <w:rsid w:val="27D857A9"/>
    <w:rsid w:val="294E055C"/>
    <w:rsid w:val="296E14AB"/>
    <w:rsid w:val="29952251"/>
    <w:rsid w:val="2AD16DE9"/>
    <w:rsid w:val="2C4209CD"/>
    <w:rsid w:val="2CA31C32"/>
    <w:rsid w:val="2D375F5B"/>
    <w:rsid w:val="2E400F3C"/>
    <w:rsid w:val="30180DC7"/>
    <w:rsid w:val="320550BC"/>
    <w:rsid w:val="32BD424F"/>
    <w:rsid w:val="32E94794"/>
    <w:rsid w:val="33AA7021"/>
    <w:rsid w:val="33EF4371"/>
    <w:rsid w:val="359B6DED"/>
    <w:rsid w:val="35BB5A78"/>
    <w:rsid w:val="36D371B1"/>
    <w:rsid w:val="37BC1633"/>
    <w:rsid w:val="387E2B20"/>
    <w:rsid w:val="39FC3049"/>
    <w:rsid w:val="3AE076E5"/>
    <w:rsid w:val="3B4E3ED9"/>
    <w:rsid w:val="3C5A27F2"/>
    <w:rsid w:val="3CA737D7"/>
    <w:rsid w:val="3E6158D5"/>
    <w:rsid w:val="417E123A"/>
    <w:rsid w:val="42FA20A2"/>
    <w:rsid w:val="451E596A"/>
    <w:rsid w:val="48AA548E"/>
    <w:rsid w:val="4973433F"/>
    <w:rsid w:val="4D813B46"/>
    <w:rsid w:val="4D84279B"/>
    <w:rsid w:val="4E056021"/>
    <w:rsid w:val="4F3F325D"/>
    <w:rsid w:val="50A0797B"/>
    <w:rsid w:val="51542485"/>
    <w:rsid w:val="52074D56"/>
    <w:rsid w:val="531831D3"/>
    <w:rsid w:val="556E3867"/>
    <w:rsid w:val="55796E86"/>
    <w:rsid w:val="56F03878"/>
    <w:rsid w:val="5927777C"/>
    <w:rsid w:val="59396B30"/>
    <w:rsid w:val="5B975D90"/>
    <w:rsid w:val="5BAB1B9D"/>
    <w:rsid w:val="5D1C07C3"/>
    <w:rsid w:val="5D7C4D2D"/>
    <w:rsid w:val="5DA90DBA"/>
    <w:rsid w:val="5F9A5527"/>
    <w:rsid w:val="61233E3F"/>
    <w:rsid w:val="62402164"/>
    <w:rsid w:val="632F44C3"/>
    <w:rsid w:val="636504FC"/>
    <w:rsid w:val="64F462FB"/>
    <w:rsid w:val="68DD679C"/>
    <w:rsid w:val="6BC404DB"/>
    <w:rsid w:val="6C1D7BEB"/>
    <w:rsid w:val="6D773183"/>
    <w:rsid w:val="6E713C29"/>
    <w:rsid w:val="6F137C43"/>
    <w:rsid w:val="6F825766"/>
    <w:rsid w:val="71723597"/>
    <w:rsid w:val="727C6025"/>
    <w:rsid w:val="7315161C"/>
    <w:rsid w:val="739526EC"/>
    <w:rsid w:val="73BF3D9C"/>
    <w:rsid w:val="74AB53DF"/>
    <w:rsid w:val="75570F51"/>
    <w:rsid w:val="75E4177A"/>
    <w:rsid w:val="7698300F"/>
    <w:rsid w:val="77183DD1"/>
    <w:rsid w:val="77601667"/>
    <w:rsid w:val="784371B5"/>
    <w:rsid w:val="78445413"/>
    <w:rsid w:val="787E5EB6"/>
    <w:rsid w:val="78A34418"/>
    <w:rsid w:val="78D2700F"/>
    <w:rsid w:val="7B223BA3"/>
    <w:rsid w:val="7B611E27"/>
    <w:rsid w:val="7B870218"/>
    <w:rsid w:val="7BCF2C50"/>
    <w:rsid w:val="7C0737E0"/>
    <w:rsid w:val="7C7D61BD"/>
    <w:rsid w:val="7C89452B"/>
    <w:rsid w:val="7D9E37FF"/>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3">
    <w:name w:val="heading 1"/>
    <w:basedOn w:val="1"/>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5">
    <w:name w:val="toa heading"/>
    <w:basedOn w:val="1"/>
    <w:next w:val="1"/>
    <w:qFormat/>
    <w:uiPriority w:val="0"/>
    <w:pPr>
      <w:spacing w:before="120"/>
    </w:pPr>
    <w:rPr>
      <w:rFonts w:ascii="Arial" w:hAnsi="Arial" w:cs="Arial"/>
      <w:sz w:val="24"/>
      <w:szCs w:val="24"/>
    </w:rPr>
  </w:style>
  <w:style w:type="paragraph" w:styleId="6">
    <w:name w:val="Body Text Indent"/>
    <w:basedOn w:val="1"/>
    <w:unhideWhenUsed/>
    <w:qFormat/>
    <w:uiPriority w:val="99"/>
    <w:pPr>
      <w:spacing w:after="120"/>
      <w:ind w:left="420" w:leftChars="200"/>
    </w:pPr>
  </w:style>
  <w:style w:type="paragraph" w:styleId="7">
    <w:name w:val="Body Text Indent 2"/>
    <w:basedOn w:val="1"/>
    <w:qFormat/>
    <w:uiPriority w:val="99"/>
    <w:pPr>
      <w:spacing w:line="360" w:lineRule="auto"/>
      <w:ind w:firstLine="420" w:firstLineChars="175"/>
    </w:pPr>
    <w:rPr>
      <w:sz w:val="24"/>
      <w:szCs w:val="24"/>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paragraph" w:customStyle="1" w:styleId="15">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6">
    <w:name w:val="样式 仿宋"/>
    <w:qFormat/>
    <w:uiPriority w:val="0"/>
    <w:rPr>
      <w:rFonts w:hint="eastAsia" w:ascii="仿宋" w:hAnsi="仿宋" w:eastAsia="仿宋"/>
      <w:kern w:val="2"/>
    </w:rPr>
  </w:style>
  <w:style w:type="character" w:customStyle="1" w:styleId="17">
    <w:name w:val="font51"/>
    <w:basedOn w:val="13"/>
    <w:qFormat/>
    <w:uiPriority w:val="0"/>
    <w:rPr>
      <w:rFonts w:hint="eastAsia" w:ascii="黑体" w:hAnsi="宋体" w:eastAsia="黑体" w:cs="黑体"/>
      <w:color w:val="000000"/>
      <w:sz w:val="36"/>
      <w:szCs w:val="36"/>
      <w:u w:val="none"/>
    </w:rPr>
  </w:style>
  <w:style w:type="character" w:customStyle="1" w:styleId="18">
    <w:name w:val="font61"/>
    <w:basedOn w:val="13"/>
    <w:qFormat/>
    <w:uiPriority w:val="0"/>
    <w:rPr>
      <w:rFonts w:ascii="楷体" w:hAnsi="楷体" w:eastAsia="楷体" w:cs="楷体"/>
      <w:color w:val="000000"/>
      <w:sz w:val="28"/>
      <w:szCs w:val="28"/>
      <w:u w:val="none"/>
    </w:rPr>
  </w:style>
  <w:style w:type="character" w:customStyle="1" w:styleId="19">
    <w:name w:val="font41"/>
    <w:basedOn w:val="13"/>
    <w:qFormat/>
    <w:uiPriority w:val="0"/>
    <w:rPr>
      <w:rFonts w:hint="eastAsia" w:ascii="宋体" w:hAnsi="宋体" w:eastAsia="宋体" w:cs="宋体"/>
      <w:color w:val="000000"/>
      <w:sz w:val="24"/>
      <w:szCs w:val="24"/>
      <w:u w:val="none"/>
    </w:rPr>
  </w:style>
  <w:style w:type="character" w:customStyle="1" w:styleId="20">
    <w:name w:val="font31"/>
    <w:basedOn w:val="13"/>
    <w:qFormat/>
    <w:uiPriority w:val="0"/>
    <w:rPr>
      <w:rFonts w:ascii="宋体" w:hAnsi="宋体" w:eastAsia="宋体" w:cs="宋体"/>
      <w:color w:val="000000"/>
      <w:sz w:val="21"/>
      <w:szCs w:val="21"/>
      <w:u w:val="none"/>
    </w:rPr>
  </w:style>
  <w:style w:type="paragraph" w:customStyle="1" w:styleId="21">
    <w:name w:val="1"/>
    <w:basedOn w:val="1"/>
    <w:next w:val="6"/>
    <w:qFormat/>
    <w:uiPriority w:val="0"/>
    <w:pPr>
      <w:spacing w:line="600" w:lineRule="atLeast"/>
      <w:ind w:firstLine="560" w:firstLineChars="200"/>
    </w:pPr>
    <w:rPr>
      <w:rFonts w:ascii="Times New Roman" w:hAnsi="Times New Roman" w:eastAsia="仿宋_GB2312"/>
      <w:sz w:val="28"/>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1633</Words>
  <Characters>1975</Characters>
  <Lines>0</Lines>
  <Paragraphs>0</Paragraphs>
  <TotalTime>14</TotalTime>
  <ScaleCrop>false</ScaleCrop>
  <LinksUpToDate>false</LinksUpToDate>
  <CharactersWithSpaces>2035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团团</cp:lastModifiedBy>
  <cp:lastPrinted>2025-06-17T05:09:00Z</cp:lastPrinted>
  <dcterms:modified xsi:type="dcterms:W3CDTF">2026-05-26T02:46:38Z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E993E5516DA94A0AAC56C61CD8C84705</vt:lpwstr>
  </property>
  <property fmtid="{D5CDD505-2E9C-101B-9397-08002B2CF9AE}" pid="4" name="KSOTemplateDocerSaveRecord">
    <vt:lpwstr>eyJoZGlkIjoiMzZjZDkwYmUxZTZhM2Y2OWIxZGM4ZmI1NzVlNWUwY2IiLCJ1c2VySWQiOiIzOTY0OTQ3NzgifQ==</vt:lpwstr>
  </property>
</Properties>
</file>