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753DD8D4">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医院生活水箱清洗及生活水质检验</w:t>
      </w:r>
    </w:p>
    <w:p w14:paraId="3ED24482">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项目</w:t>
      </w: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60181</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20</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青岛市妇女儿童医院医院生活水箱清洗及生活水质检验项目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7CF871D9">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u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医院生活水箱清洗及生活水质检验项目</w:t>
      </w:r>
    </w:p>
    <w:p w14:paraId="56EC850F">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60181</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9E7A3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C1B5D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7FA292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91148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7ED09B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40B11747">
      <w:pPr>
        <w:pStyle w:val="2"/>
        <w:numPr>
          <w:ilvl w:val="0"/>
          <w:numId w:val="0"/>
        </w:numPr>
        <w:spacing w:line="360" w:lineRule="auto"/>
        <w:jc w:val="both"/>
        <w:rPr>
          <w:rFonts w:hint="eastAsia" w:ascii="仿宋" w:hAnsi="仿宋" w:eastAsia="仿宋" w:cs="宋体"/>
          <w:bCs/>
          <w:color w:val="auto"/>
          <w:sz w:val="32"/>
          <w:szCs w:val="32"/>
          <w:highlight w:val="none"/>
          <w:lang w:val="en-US" w:eastAsia="zh-CN"/>
        </w:rPr>
      </w:pPr>
      <w:bookmarkStart w:id="3" w:name="_Toc7005"/>
      <w:bookmarkStart w:id="4" w:name="_Toc458"/>
    </w:p>
    <w:p w14:paraId="65721C61">
      <w:pPr>
        <w:rPr>
          <w:rFonts w:hint="eastAsia" w:ascii="仿宋" w:hAnsi="仿宋" w:eastAsia="仿宋" w:cs="宋体"/>
          <w:bCs/>
          <w:color w:val="auto"/>
          <w:sz w:val="32"/>
          <w:szCs w:val="32"/>
          <w:highlight w:val="none"/>
          <w:lang w:val="en-US" w:eastAsia="zh-CN"/>
        </w:rPr>
      </w:pPr>
    </w:p>
    <w:p w14:paraId="7133260A">
      <w:pPr>
        <w:rPr>
          <w:rFonts w:hint="eastAsia" w:ascii="仿宋" w:hAnsi="仿宋" w:eastAsia="仿宋" w:cs="宋体"/>
          <w:bCs/>
          <w:color w:val="auto"/>
          <w:sz w:val="32"/>
          <w:szCs w:val="32"/>
          <w:highlight w:val="none"/>
          <w:lang w:val="en-US" w:eastAsia="zh-CN"/>
        </w:rPr>
      </w:pPr>
    </w:p>
    <w:p w14:paraId="151A3912">
      <w:pPr>
        <w:pStyle w:val="2"/>
        <w:numPr>
          <w:ilvl w:val="0"/>
          <w:numId w:val="0"/>
        </w:numPr>
        <w:spacing w:line="360" w:lineRule="auto"/>
        <w:jc w:val="center"/>
        <w:rPr>
          <w:rFonts w:hint="eastAsia"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第二章 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医院生活水箱清洗及生活水质检验项目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60181</w:t>
      </w:r>
    </w:p>
    <w:p w14:paraId="528EE08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2、 </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22109"/>
      <w:bookmarkStart w:id="6" w:name="_Toc11005"/>
    </w:p>
    <w:p w14:paraId="080A67E3">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  预算金额6478元（生活水箱清洗费：4818元；生活水质检验费：1660元。）</w:t>
      </w:r>
    </w:p>
    <w:p w14:paraId="5613A869">
      <w:pPr>
        <w:numPr>
          <w:ilvl w:val="0"/>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2.2  项目概况：</w:t>
      </w:r>
    </w:p>
    <w:p w14:paraId="4E739623">
      <w:pPr>
        <w:numPr>
          <w:ilvl w:val="0"/>
          <w:numId w:val="0"/>
        </w:numPr>
        <w:spacing w:line="360" w:lineRule="auto"/>
        <w:ind w:left="720" w:hanging="720" w:hangingChars="3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2.2.1  医院生活水箱需每年进行清洗，具体情况如下：</w:t>
      </w:r>
    </w:p>
    <w:tbl>
      <w:tblPr>
        <w:tblStyle w:val="9"/>
        <w:tblW w:w="8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3"/>
        <w:gridCol w:w="2221"/>
        <w:gridCol w:w="2018"/>
      </w:tblGrid>
      <w:tr w14:paraId="4593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893" w:type="dxa"/>
            <w:vAlign w:val="center"/>
          </w:tcPr>
          <w:p w14:paraId="305A64C1">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名称</w:t>
            </w:r>
          </w:p>
        </w:tc>
        <w:tc>
          <w:tcPr>
            <w:tcW w:w="2221" w:type="dxa"/>
            <w:vAlign w:val="center"/>
          </w:tcPr>
          <w:p w14:paraId="19EE631F">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规格</w:t>
            </w:r>
          </w:p>
        </w:tc>
        <w:tc>
          <w:tcPr>
            <w:tcW w:w="2018" w:type="dxa"/>
            <w:vAlign w:val="center"/>
          </w:tcPr>
          <w:p w14:paraId="0246025C">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预算金额（元）</w:t>
            </w:r>
          </w:p>
        </w:tc>
      </w:tr>
      <w:tr w14:paraId="1C96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893" w:type="dxa"/>
            <w:vAlign w:val="center"/>
          </w:tcPr>
          <w:p w14:paraId="6388B27F">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一期</w:t>
            </w:r>
            <w:r>
              <w:rPr>
                <w:rFonts w:hint="default" w:ascii="仿宋" w:hAnsi="仿宋" w:eastAsia="仿宋" w:cs="宋体"/>
                <w:color w:val="auto"/>
                <w:sz w:val="24"/>
                <w:szCs w:val="24"/>
                <w:highlight w:val="none"/>
                <w:vertAlign w:val="baseline"/>
                <w:lang w:val="en-US" w:eastAsia="zh-CN"/>
              </w:rPr>
              <w:t xml:space="preserve"> 1#水箱清洗</w:t>
            </w:r>
          </w:p>
        </w:tc>
        <w:tc>
          <w:tcPr>
            <w:tcW w:w="2221" w:type="dxa"/>
            <w:vAlign w:val="center"/>
          </w:tcPr>
          <w:p w14:paraId="749EBDA0">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default" w:ascii="仿宋" w:hAnsi="仿宋" w:eastAsia="仿宋" w:cs="宋体"/>
                <w:color w:val="auto"/>
                <w:sz w:val="24"/>
                <w:szCs w:val="24"/>
                <w:highlight w:val="none"/>
                <w:vertAlign w:val="baseline"/>
                <w:lang w:val="en-US" w:eastAsia="zh-CN"/>
              </w:rPr>
              <w:t>5m³</w:t>
            </w:r>
          </w:p>
        </w:tc>
        <w:tc>
          <w:tcPr>
            <w:tcW w:w="2018" w:type="dxa"/>
            <w:vMerge w:val="restart"/>
            <w:vAlign w:val="center"/>
          </w:tcPr>
          <w:p w14:paraId="4432982E">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4818</w:t>
            </w:r>
          </w:p>
        </w:tc>
      </w:tr>
      <w:tr w14:paraId="03CA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893" w:type="dxa"/>
            <w:vAlign w:val="center"/>
          </w:tcPr>
          <w:p w14:paraId="68E33974">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二期</w:t>
            </w:r>
            <w:r>
              <w:rPr>
                <w:rFonts w:hint="default" w:ascii="仿宋" w:hAnsi="仿宋" w:eastAsia="仿宋" w:cs="宋体"/>
                <w:color w:val="auto"/>
                <w:sz w:val="24"/>
                <w:szCs w:val="24"/>
                <w:highlight w:val="none"/>
                <w:vertAlign w:val="baseline"/>
                <w:lang w:val="en-US" w:eastAsia="zh-CN"/>
              </w:rPr>
              <w:t xml:space="preserve"> 1#水箱清洗</w:t>
            </w:r>
          </w:p>
        </w:tc>
        <w:tc>
          <w:tcPr>
            <w:tcW w:w="2221" w:type="dxa"/>
            <w:vAlign w:val="center"/>
          </w:tcPr>
          <w:p w14:paraId="7C4ED55E">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72</w:t>
            </w:r>
            <w:r>
              <w:rPr>
                <w:rFonts w:hint="default" w:ascii="仿宋" w:hAnsi="仿宋" w:eastAsia="仿宋" w:cs="宋体"/>
                <w:color w:val="auto"/>
                <w:sz w:val="24"/>
                <w:szCs w:val="24"/>
                <w:highlight w:val="none"/>
                <w:vertAlign w:val="baseline"/>
                <w:lang w:val="en-US" w:eastAsia="zh-CN"/>
              </w:rPr>
              <w:t>m</w:t>
            </w:r>
          </w:p>
        </w:tc>
        <w:tc>
          <w:tcPr>
            <w:tcW w:w="2018" w:type="dxa"/>
            <w:vMerge w:val="continue"/>
            <w:vAlign w:val="center"/>
          </w:tcPr>
          <w:p w14:paraId="5DDDDF72">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p>
        </w:tc>
      </w:tr>
      <w:tr w14:paraId="7787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893" w:type="dxa"/>
            <w:vAlign w:val="center"/>
          </w:tcPr>
          <w:p w14:paraId="33C42C11">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二期</w:t>
            </w:r>
            <w:r>
              <w:rPr>
                <w:rFonts w:hint="default" w:ascii="仿宋" w:hAnsi="仿宋" w:eastAsia="仿宋" w:cs="宋体"/>
                <w:color w:val="auto"/>
                <w:sz w:val="24"/>
                <w:szCs w:val="24"/>
                <w:highlight w:val="none"/>
                <w:vertAlign w:val="baseline"/>
                <w:lang w:val="en-US" w:eastAsia="zh-CN"/>
              </w:rPr>
              <w:t xml:space="preserve"> 2#水箱清洗</w:t>
            </w:r>
          </w:p>
        </w:tc>
        <w:tc>
          <w:tcPr>
            <w:tcW w:w="2221" w:type="dxa"/>
            <w:vAlign w:val="center"/>
          </w:tcPr>
          <w:p w14:paraId="47FF0CDC">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72</w:t>
            </w:r>
            <w:r>
              <w:rPr>
                <w:rFonts w:hint="default" w:ascii="仿宋" w:hAnsi="仿宋" w:eastAsia="仿宋" w:cs="宋体"/>
                <w:color w:val="auto"/>
                <w:sz w:val="24"/>
                <w:szCs w:val="24"/>
                <w:highlight w:val="none"/>
                <w:vertAlign w:val="baseline"/>
                <w:lang w:val="en-US" w:eastAsia="zh-CN"/>
              </w:rPr>
              <w:t>m³</w:t>
            </w:r>
          </w:p>
        </w:tc>
        <w:tc>
          <w:tcPr>
            <w:tcW w:w="2018" w:type="dxa"/>
            <w:vMerge w:val="continue"/>
            <w:vAlign w:val="center"/>
          </w:tcPr>
          <w:p w14:paraId="06951085">
            <w:pPr>
              <w:numPr>
                <w:ilvl w:val="0"/>
                <w:numId w:val="0"/>
              </w:numPr>
              <w:spacing w:line="360" w:lineRule="auto"/>
              <w:jc w:val="center"/>
              <w:rPr>
                <w:rFonts w:hint="default" w:ascii="仿宋" w:hAnsi="仿宋" w:eastAsia="仿宋" w:cs="宋体"/>
                <w:color w:val="auto"/>
                <w:sz w:val="24"/>
                <w:szCs w:val="24"/>
                <w:highlight w:val="none"/>
                <w:vertAlign w:val="baseline"/>
                <w:lang w:val="en-US" w:eastAsia="zh-CN"/>
              </w:rPr>
            </w:pPr>
          </w:p>
        </w:tc>
      </w:tr>
    </w:tbl>
    <w:p w14:paraId="6C39E974">
      <w:pPr>
        <w:numPr>
          <w:ilvl w:val="0"/>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2.2.2   医院生活水质检测</w:t>
      </w:r>
    </w:p>
    <w:p w14:paraId="7D5723C7">
      <w:pPr>
        <w:numPr>
          <w:ilvl w:val="0"/>
          <w:numId w:val="0"/>
        </w:numPr>
        <w:spacing w:line="360" w:lineRule="auto"/>
        <w:ind w:firstLine="480" w:firstLineChars="2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提供水质检测报告2份；报告需含以下15项：总大肠菌群、菌落总数、砷、铬、铅、硝酸盐、色度、浑浊度、臭和味、肉眼可见物、PH、铁、锰、氯化物、总硬度，预算金额1660元。</w:t>
      </w:r>
    </w:p>
    <w:p w14:paraId="4BA1E1E3">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2.3  付款方式：项目完成且验收合格后一次性支付。</w:t>
      </w:r>
    </w:p>
    <w:p w14:paraId="1C6EE3A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2.4  资质及其他</w:t>
      </w:r>
      <w:bookmarkStart w:id="11" w:name="_GoBack"/>
      <w:bookmarkEnd w:id="11"/>
      <w:r>
        <w:rPr>
          <w:rFonts w:hint="eastAsia" w:ascii="仿宋" w:hAnsi="仿宋" w:eastAsia="仿宋" w:cs="仿宋"/>
          <w:bCs/>
          <w:color w:val="auto"/>
          <w:sz w:val="24"/>
          <w:szCs w:val="24"/>
          <w:highlight w:val="none"/>
          <w:vertAlign w:val="baseline"/>
          <w:lang w:val="en-US" w:eastAsia="zh-CN"/>
        </w:rPr>
        <w:t>要求：</w:t>
      </w:r>
    </w:p>
    <w:p w14:paraId="02009C33">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响应供应商须具有当地或以上消毒资质证书；</w:t>
      </w:r>
    </w:p>
    <w:p w14:paraId="65C0992B">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响应供应商须购买公众责任险，并为清洗工作人员购买意外险；</w:t>
      </w:r>
    </w:p>
    <w:p w14:paraId="5F0E031E">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响应供应商须提供清洗工作人员健康证、消毒培训资质证书；</w:t>
      </w:r>
    </w:p>
    <w:p w14:paraId="253548C2">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响应供应商需配合院方提供危险作业流程材料，包括但不限于人员雇佣协议、清洗方案、有限空间安全培训材料、安全协议；</w:t>
      </w:r>
    </w:p>
    <w:p w14:paraId="67000DDD">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清洗前，对水箱内部进行测氧，确定氧气浓度合格且无其他有毒有害气体后，方能进行作业；</w:t>
      </w:r>
    </w:p>
    <w:p w14:paraId="11A43CD8">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清洗时应使用通风装置持续通风直至作业结束，高空作业时需使用安全带；</w:t>
      </w:r>
    </w:p>
    <w:p w14:paraId="17F1714C">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清洗时仅采用纯物理的清洗方式，不允许使用钢丝球等有异物风险的工具，不允许使用任何化学清洁剂、强酸、强碱，减少对水质的影响；</w:t>
      </w:r>
    </w:p>
    <w:p w14:paraId="6597DA81">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清洗完毕后排尽水箱内的污水，再向水箱内投入水处理专用的二氧化氯消毒片。</w:t>
      </w:r>
    </w:p>
    <w:p w14:paraId="06292FC9">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清洗后，出具清洗工作记录，清洗前后有对比照片；</w:t>
      </w:r>
    </w:p>
    <w:p w14:paraId="19A65F21">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清洗后，出具所使用的消毒药品卫生许可证；</w:t>
      </w:r>
    </w:p>
    <w:p w14:paraId="7B5A8AB1">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不允许清洗人员在清洗完成离开时留下任何异物影响水质；</w:t>
      </w:r>
    </w:p>
    <w:p w14:paraId="5308C9EF">
      <w:pPr>
        <w:pStyle w:val="21"/>
        <w:numPr>
          <w:numId w:val="0"/>
        </w:numPr>
        <w:spacing w:line="360" w:lineRule="auto"/>
        <w:ind w:leftChars="0" w:firstLine="480" w:firstLineChars="200"/>
        <w:rPr>
          <w:rFonts w:ascii="仿宋" w:hAnsi="仿宋" w:eastAsia="仿宋" w:cs="仿宋"/>
          <w:bCs/>
          <w:vertAlign w:val="baseline"/>
        </w:rPr>
      </w:pPr>
      <w:r>
        <w:rPr>
          <w:rFonts w:hint="eastAsia" w:ascii="仿宋" w:hAnsi="仿宋" w:eastAsia="仿宋" w:cs="仿宋"/>
          <w:bCs/>
          <w:vertAlign w:val="baseline"/>
        </w:rPr>
        <w:t>清洗完毕后现场取水样交由具有合法资质的机构对水质检测并出具《水质检验合格报告书》，如水质检测不合格需重新清洗并承担因此所产生的费用、风险和责任；</w:t>
      </w:r>
    </w:p>
    <w:p w14:paraId="4A5E9EB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53FD9325">
      <w:pPr>
        <w:numPr>
          <w:ilvl w:val="0"/>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p>
    <w:p w14:paraId="46310F61">
      <w:pPr>
        <w:numPr>
          <w:ilvl w:val="0"/>
          <w:numId w:val="0"/>
        </w:numPr>
        <w:spacing w:line="360" w:lineRule="auto"/>
        <w:ind w:left="720" w:hanging="720" w:hangingChars="300"/>
        <w:rPr>
          <w:rFonts w:hint="default" w:ascii="仿宋" w:hAnsi="仿宋" w:eastAsia="仿宋" w:cs="宋体"/>
          <w:color w:val="auto"/>
          <w:sz w:val="24"/>
          <w:szCs w:val="24"/>
          <w:highlight w:val="none"/>
          <w:vertAlign w:val="baseline"/>
          <w:lang w:val="en-US" w:eastAsia="zh-CN"/>
        </w:rPr>
        <w:sectPr>
          <w:headerReference r:id="rId7" w:type="default"/>
          <w:footerReference r:id="rId8" w:type="default"/>
          <w:pgSz w:w="11906" w:h="16838"/>
          <w:pgMar w:top="1440" w:right="1440" w:bottom="1440" w:left="1440" w:header="851" w:footer="992" w:gutter="0"/>
          <w:pgNumType w:fmt="decimal"/>
          <w:cols w:space="720" w:num="1"/>
          <w:docGrid w:linePitch="312" w:charSpace="0"/>
        </w:sectPr>
      </w:pPr>
    </w:p>
    <w:p w14:paraId="7F633E3C">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第三章 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8ACEBE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50CCF9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520E2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92C123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71B64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11" w:type="first"/>
          <w:footerReference r:id="rId14" w:type="first"/>
          <w:headerReference r:id="rId9" w:type="default"/>
          <w:footerReference r:id="rId12" w:type="default"/>
          <w:headerReference r:id="rId10" w:type="even"/>
          <w:footerReference r:id="rId13"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40"/>
        <w:gridCol w:w="855"/>
        <w:gridCol w:w="1095"/>
        <w:gridCol w:w="855"/>
        <w:gridCol w:w="1199"/>
        <w:gridCol w:w="2885"/>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服务项目</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19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2885"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4"/>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4"/>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2F6C1DA">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546AB416">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7EA8FF81">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8B86F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793A97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CC2D6">
    <w:pPr>
      <w:pStyle w:val="5"/>
    </w:pPr>
    <w:r>
      <mc:AlternateContent>
        <mc:Choice Requires="wps">
          <w:drawing>
            <wp:anchor distT="0" distB="0" distL="114300" distR="114300" simplePos="0" relativeHeight="251664384" behindDoc="0" locked="0" layoutInCell="1" allowOverlap="1">
              <wp:simplePos x="0" y="0"/>
              <wp:positionH relativeFrom="margin">
                <wp:posOffset>2776855</wp:posOffset>
              </wp:positionH>
              <wp:positionV relativeFrom="paragraph">
                <wp:posOffset>-94615</wp:posOffset>
              </wp:positionV>
              <wp:extent cx="462915" cy="2489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2915" cy="248920"/>
                      </a:xfrm>
                      <a:prstGeom prst="rect">
                        <a:avLst/>
                      </a:prstGeom>
                      <a:noFill/>
                      <a:ln w="6350">
                        <a:noFill/>
                      </a:ln>
                    </wps:spPr>
                    <wps:txbx>
                      <w:txbxContent>
                        <w:p w14:paraId="6CED2D9B">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 </w:t>
                          </w:r>
                          <w:r>
                            <w:rPr>
                              <w:rFonts w:hint="eastAsia"/>
                            </w:rPr>
                            <w:fldChar w:fldCharType="begin"/>
                          </w:r>
                          <w:r>
                            <w:rPr>
                              <w:rFonts w:hint="eastAsia"/>
                            </w:rPr>
                            <w:instrText xml:space="preserve"> NUMPAGES  \* MERGEFORMAT </w:instrText>
                          </w:r>
                          <w:r>
                            <w:rPr>
                              <w:rFonts w:hint="eastAsia"/>
                            </w:rPr>
                            <w:fldChar w:fldCharType="separate"/>
                          </w:r>
                          <w:r>
                            <w:rPr>
                              <w:rFonts w:hint="eastAsia"/>
                            </w:rPr>
                            <w:t>28</w:t>
                          </w:r>
                          <w:r>
                            <w:rPr>
                              <w:rFonts w:hint="eastAsia"/>
                            </w:rP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left:218.65pt;margin-top:-7.45pt;height:19.6pt;width:36.45pt;mso-position-horizontal-relative:margin;z-index:251664384;mso-width-relative:page;mso-height-relative:page;" filled="f" stroked="f" coordsize="21600,21600" o:gfxdata="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vYs4r2QAAAAoBAAAPAAAAAAAA&#10;AAEAIAAAACIAAABkcnMvZG93bnJldi54bWxQSwECFAAUAAAACACHTuJAlzqXjdgBAACiAwAADgAA&#10;AAAAAAABACAAAAAoAQAAZHJzL2Uyb0RvYy54bWxQSwUGAAAAAAYABgBZAQAAcgUAAAAA&#10;">
              <v:fill on="f" focussize="0,0"/>
              <v:stroke on="f" weight="0.5pt"/>
              <v:imagedata o:title=""/>
              <o:lock v:ext="edit" aspectratio="f"/>
              <v:textbox inset="0mm,0mm,0mm,0mm">
                <w:txbxContent>
                  <w:p w14:paraId="6CED2D9B">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 </w:t>
                    </w:r>
                    <w:r>
                      <w:rPr>
                        <w:rFonts w:hint="eastAsia"/>
                      </w:rPr>
                      <w:fldChar w:fldCharType="begin"/>
                    </w:r>
                    <w:r>
                      <w:rPr>
                        <w:rFonts w:hint="eastAsia"/>
                      </w:rPr>
                      <w:instrText xml:space="preserve"> NUMPAGES  \* MERGEFORMAT </w:instrText>
                    </w:r>
                    <w:r>
                      <w:rPr>
                        <w:rFonts w:hint="eastAsia"/>
                      </w:rPr>
                      <w:fldChar w:fldCharType="separate"/>
                    </w:r>
                    <w:r>
                      <w:rPr>
                        <w:rFonts w:hint="eastAsia"/>
                      </w:rPr>
                      <w:t>28</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11</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fldChar w:fldCharType="begin"/>
                    </w:r>
                    <w:r>
                      <w:rPr>
                        <w:vertAlign w:val="baseline"/>
                      </w:rPr>
                      <w:instrText xml:space="preserve"> PAGE  \* MERGEFORMAT </w:instrText>
                    </w:r>
                    <w:r>
                      <w:rPr>
                        <w:vertAlign w:val="baseline"/>
                      </w:rPr>
                      <w:fldChar w:fldCharType="separate"/>
                    </w:r>
                    <w:r>
                      <w:rPr>
                        <w:vertAlign w:val="baseline"/>
                      </w:rPr>
                      <w:t>11</w:t>
                    </w:r>
                    <w:r>
                      <w:rPr>
                        <w:vertAlign w:val="baseline"/>
                      </w:rPr>
                      <w:fldChar w:fldCharType="end"/>
                    </w:r>
                    <w:r>
                      <w:rPr>
                        <w:vertAlign w:val="baseline"/>
                      </w:rPr>
                      <w:t xml:space="preserve"> / </w:t>
                    </w:r>
                    <w:r>
                      <w:rPr>
                        <w:vertAlign w:val="baseline"/>
                      </w:rPr>
                      <w:fldChar w:fldCharType="begin"/>
                    </w:r>
                    <w:r>
                      <w:rPr>
                        <w:vertAlign w:val="baseline"/>
                      </w:rPr>
                      <w:instrText xml:space="preserve"> NUMPAGES  \* MERGEFORMAT </w:instrText>
                    </w:r>
                    <w:r>
                      <w:rPr>
                        <w:vertAlign w:val="baseline"/>
                      </w:rPr>
                      <w:fldChar w:fldCharType="separate"/>
                    </w:r>
                    <w:r>
                      <w:rPr>
                        <w:vertAlign w:val="baseline"/>
                      </w:rPr>
                      <w:t>28</w:t>
                    </w:r>
                    <w:r>
                      <w:rPr>
                        <w:vertAlign w:val="baseline"/>
                      </w:rPr>
                      <w:fldChar w:fldCharType="end"/>
                    </w:r>
                  </w:p>
                </w:txbxContent>
              </v:textbox>
            </v:shape>
          </w:pict>
        </mc:Fallback>
      </mc:AlternateContent>
    </w:r>
  </w:p>
  <w:p w14:paraId="4A763EF0">
    <w:pPr>
      <w:pStyle w:val="5"/>
      <w:ind w:right="360"/>
      <w:rPr>
        <w:rFonts w:hint="eastAsia"/>
        <w:lang w:eastAsia="zh-C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EE4FB">
    <w:pPr>
      <w:pStyle w:val="6"/>
      <w:pBdr>
        <w:bottom w:val="none" w:color="auto" w:sz="0" w:space="1"/>
      </w:pBdr>
      <w:jc w:val="both"/>
      <w:rPr>
        <w:rStyle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25AEB776"/>
    <w:multiLevelType w:val="singleLevel"/>
    <w:tmpl w:val="25AEB776"/>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981761"/>
    <w:rsid w:val="02372357"/>
    <w:rsid w:val="052D3B24"/>
    <w:rsid w:val="056F4B59"/>
    <w:rsid w:val="063302DF"/>
    <w:rsid w:val="0715148C"/>
    <w:rsid w:val="080D3F91"/>
    <w:rsid w:val="08E053FD"/>
    <w:rsid w:val="0AC34A42"/>
    <w:rsid w:val="0B1D58FE"/>
    <w:rsid w:val="0B3C188E"/>
    <w:rsid w:val="0B603E17"/>
    <w:rsid w:val="0BC41F21"/>
    <w:rsid w:val="0C031A25"/>
    <w:rsid w:val="0D4267D1"/>
    <w:rsid w:val="0FBF2FB7"/>
    <w:rsid w:val="10D4626B"/>
    <w:rsid w:val="110C12EC"/>
    <w:rsid w:val="11951E4E"/>
    <w:rsid w:val="12040D82"/>
    <w:rsid w:val="124D331C"/>
    <w:rsid w:val="12D55D1E"/>
    <w:rsid w:val="14C76F80"/>
    <w:rsid w:val="156E30E2"/>
    <w:rsid w:val="15975076"/>
    <w:rsid w:val="15E12F09"/>
    <w:rsid w:val="16D757F2"/>
    <w:rsid w:val="172D2FEA"/>
    <w:rsid w:val="17833C2E"/>
    <w:rsid w:val="1937608A"/>
    <w:rsid w:val="193E2DCB"/>
    <w:rsid w:val="196A6FCE"/>
    <w:rsid w:val="198F2D53"/>
    <w:rsid w:val="1A66082C"/>
    <w:rsid w:val="1A9A51D3"/>
    <w:rsid w:val="1AD95BCB"/>
    <w:rsid w:val="1AFD138A"/>
    <w:rsid w:val="1BE27F61"/>
    <w:rsid w:val="1D9D434C"/>
    <w:rsid w:val="1EE838F2"/>
    <w:rsid w:val="1FDD5734"/>
    <w:rsid w:val="223D2106"/>
    <w:rsid w:val="226E1F8E"/>
    <w:rsid w:val="23715B1A"/>
    <w:rsid w:val="23E72ABF"/>
    <w:rsid w:val="25BA7C7E"/>
    <w:rsid w:val="26083FB3"/>
    <w:rsid w:val="270B08D2"/>
    <w:rsid w:val="279D1605"/>
    <w:rsid w:val="291C1803"/>
    <w:rsid w:val="294E055C"/>
    <w:rsid w:val="296E14AB"/>
    <w:rsid w:val="2A342CE2"/>
    <w:rsid w:val="2A4E53C5"/>
    <w:rsid w:val="2AC800C8"/>
    <w:rsid w:val="2AD16DE9"/>
    <w:rsid w:val="2BEF0CB6"/>
    <w:rsid w:val="2C4209CD"/>
    <w:rsid w:val="2CA31C32"/>
    <w:rsid w:val="2D375F5B"/>
    <w:rsid w:val="2E400F3C"/>
    <w:rsid w:val="2EBC4A66"/>
    <w:rsid w:val="2F3D5CA0"/>
    <w:rsid w:val="2FA8676C"/>
    <w:rsid w:val="320550BC"/>
    <w:rsid w:val="32B237D3"/>
    <w:rsid w:val="32CF25C1"/>
    <w:rsid w:val="33753436"/>
    <w:rsid w:val="33AA7021"/>
    <w:rsid w:val="35906305"/>
    <w:rsid w:val="359B6DED"/>
    <w:rsid w:val="35BB5A78"/>
    <w:rsid w:val="3627310D"/>
    <w:rsid w:val="36D371B1"/>
    <w:rsid w:val="36F31241"/>
    <w:rsid w:val="37BC1633"/>
    <w:rsid w:val="387E2B20"/>
    <w:rsid w:val="39FC3049"/>
    <w:rsid w:val="3ABB2076"/>
    <w:rsid w:val="3AE076E5"/>
    <w:rsid w:val="3B007A89"/>
    <w:rsid w:val="3B071D45"/>
    <w:rsid w:val="3B4E3ED9"/>
    <w:rsid w:val="3C114533"/>
    <w:rsid w:val="3C5A27F2"/>
    <w:rsid w:val="3C90162B"/>
    <w:rsid w:val="3CA737D7"/>
    <w:rsid w:val="3E6158D5"/>
    <w:rsid w:val="40D21EC7"/>
    <w:rsid w:val="417E123A"/>
    <w:rsid w:val="429F1251"/>
    <w:rsid w:val="45D95AA6"/>
    <w:rsid w:val="46F3705E"/>
    <w:rsid w:val="481765F9"/>
    <w:rsid w:val="48AA548E"/>
    <w:rsid w:val="49723BA0"/>
    <w:rsid w:val="4973433F"/>
    <w:rsid w:val="49E45221"/>
    <w:rsid w:val="4C986452"/>
    <w:rsid w:val="4D761E2D"/>
    <w:rsid w:val="4D84279B"/>
    <w:rsid w:val="4E056021"/>
    <w:rsid w:val="4F3F325D"/>
    <w:rsid w:val="51542485"/>
    <w:rsid w:val="51B81BA9"/>
    <w:rsid w:val="52074D56"/>
    <w:rsid w:val="553F7680"/>
    <w:rsid w:val="556E3867"/>
    <w:rsid w:val="55A930B4"/>
    <w:rsid w:val="5654264B"/>
    <w:rsid w:val="56F03878"/>
    <w:rsid w:val="579E5CFB"/>
    <w:rsid w:val="5927777C"/>
    <w:rsid w:val="59396B30"/>
    <w:rsid w:val="5A4E2167"/>
    <w:rsid w:val="5AC74501"/>
    <w:rsid w:val="5B975D90"/>
    <w:rsid w:val="5E2356B9"/>
    <w:rsid w:val="5EC25220"/>
    <w:rsid w:val="5EF47BF5"/>
    <w:rsid w:val="5F2C5015"/>
    <w:rsid w:val="5F9A5527"/>
    <w:rsid w:val="600122DC"/>
    <w:rsid w:val="62402164"/>
    <w:rsid w:val="632F44C3"/>
    <w:rsid w:val="640066E1"/>
    <w:rsid w:val="64F462FB"/>
    <w:rsid w:val="656E7B61"/>
    <w:rsid w:val="66900CD4"/>
    <w:rsid w:val="671D6BBF"/>
    <w:rsid w:val="68123677"/>
    <w:rsid w:val="68DD679C"/>
    <w:rsid w:val="6994515E"/>
    <w:rsid w:val="69EA1A96"/>
    <w:rsid w:val="6C1D7BEB"/>
    <w:rsid w:val="6CFE17CB"/>
    <w:rsid w:val="6D773183"/>
    <w:rsid w:val="6E560129"/>
    <w:rsid w:val="6E713C29"/>
    <w:rsid w:val="6F137C43"/>
    <w:rsid w:val="71723597"/>
    <w:rsid w:val="727C6025"/>
    <w:rsid w:val="730613D9"/>
    <w:rsid w:val="7315161C"/>
    <w:rsid w:val="73BF3D9C"/>
    <w:rsid w:val="75570F51"/>
    <w:rsid w:val="75571951"/>
    <w:rsid w:val="75E4177A"/>
    <w:rsid w:val="764741E2"/>
    <w:rsid w:val="76A43394"/>
    <w:rsid w:val="77183DD1"/>
    <w:rsid w:val="77601667"/>
    <w:rsid w:val="784371B5"/>
    <w:rsid w:val="787E5EB6"/>
    <w:rsid w:val="78D2700F"/>
    <w:rsid w:val="79A00BB8"/>
    <w:rsid w:val="7B223BA3"/>
    <w:rsid w:val="7B611E27"/>
    <w:rsid w:val="7B6F4831"/>
    <w:rsid w:val="7B870218"/>
    <w:rsid w:val="7BEB3862"/>
    <w:rsid w:val="7C7D61BD"/>
    <w:rsid w:val="7D034BDB"/>
    <w:rsid w:val="7D416815"/>
    <w:rsid w:val="7D442A3E"/>
    <w:rsid w:val="7D8819B8"/>
    <w:rsid w:val="7E776D60"/>
    <w:rsid w:val="7FCE14D1"/>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21"/>
    <w:basedOn w:val="10"/>
    <w:qFormat/>
    <w:uiPriority w:val="0"/>
    <w:rPr>
      <w:rFonts w:hint="eastAsia" w:ascii="宋体" w:hAnsi="宋体" w:eastAsia="宋体" w:cs="宋体"/>
      <w:b/>
      <w:bCs/>
      <w:color w:val="000000"/>
      <w:sz w:val="22"/>
      <w:szCs w:val="22"/>
      <w:u w:val="none"/>
    </w:rPr>
  </w:style>
  <w:style w:type="character" w:customStyle="1" w:styleId="19">
    <w:name w:val="font71"/>
    <w:basedOn w:val="10"/>
    <w:qFormat/>
    <w:uiPriority w:val="0"/>
    <w:rPr>
      <w:rFonts w:hint="eastAsia" w:ascii="宋体" w:hAnsi="宋体" w:eastAsia="宋体" w:cs="宋体"/>
      <w:b/>
      <w:bCs/>
      <w:color w:val="000000"/>
      <w:sz w:val="22"/>
      <w:szCs w:val="22"/>
      <w:u w:val="none"/>
    </w:rPr>
  </w:style>
  <w:style w:type="character" w:customStyle="1" w:styleId="20">
    <w:name w:val="NormalCharacter"/>
    <w:qFormat/>
    <w:uiPriority w:val="0"/>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6992</Words>
  <Characters>7419</Characters>
  <Lines>0</Lines>
  <Paragraphs>0</Paragraphs>
  <TotalTime>1</TotalTime>
  <ScaleCrop>false</ScaleCrop>
  <LinksUpToDate>false</LinksUpToDate>
  <CharactersWithSpaces>8203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2026-05-26T08:25:00Z</cp:lastPrinted>
  <dcterms:modified xsi:type="dcterms:W3CDTF">2026-07-20T05:33:44Z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