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ED24482">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防雷装置检测服务采购项目</w:t>
      </w:r>
    </w:p>
    <w:p w14:paraId="3FC4A176">
      <w:pPr>
        <w:rPr>
          <w:rFonts w:hint="eastAsia" w:ascii="黑体" w:eastAsia="黑体"/>
          <w:color w:val="auto"/>
          <w:sz w:val="32"/>
          <w:highlight w:val="none"/>
        </w:rPr>
      </w:pPr>
    </w:p>
    <w:p w14:paraId="789FDAC8">
      <w:pPr>
        <w:pStyle w:val="12"/>
        <w:rPr>
          <w:rFonts w:hint="eastAsia"/>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60203</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青岛市妇女儿童医院防雷装置检测服务采购项目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防雷装置检测服务采购项目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60203</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5553B1A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254C590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宋体"/>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防雷装置检测服务采购项目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60203</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335DD48">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11005"/>
      <w:bookmarkStart w:id="6" w:name="_Toc22109"/>
      <w:r>
        <w:rPr>
          <w:rFonts w:hint="eastAsia" w:ascii="仿宋" w:hAnsi="仿宋" w:eastAsia="仿宋" w:cs="仿宋"/>
          <w:bCs/>
          <w:color w:val="auto"/>
          <w:sz w:val="24"/>
          <w:szCs w:val="24"/>
          <w:highlight w:val="none"/>
          <w:vertAlign w:val="baseline"/>
          <w:lang w:val="en-US" w:eastAsia="zh-CN"/>
        </w:rPr>
        <w:t>3.1 预算金额：10000元；</w:t>
      </w:r>
    </w:p>
    <w:p w14:paraId="6741F869">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采购需求及技术要求:</w:t>
      </w:r>
    </w:p>
    <w:p w14:paraId="51616D7F">
      <w:pPr>
        <w:spacing w:line="360" w:lineRule="auto"/>
        <w:rPr>
          <w:rFonts w:ascii="仿宋" w:hAnsi="仿宋" w:eastAsia="仿宋" w:cs="仿宋"/>
          <w:color w:val="000000"/>
          <w:vertAlign w:val="baseline"/>
        </w:rPr>
      </w:pPr>
      <w:r>
        <w:rPr>
          <w:rFonts w:hint="eastAsia" w:ascii="仿宋" w:hAnsi="仿宋" w:eastAsia="仿宋" w:cs="仿宋"/>
          <w:bCs/>
          <w:color w:val="auto"/>
          <w:sz w:val="24"/>
          <w:szCs w:val="24"/>
          <w:highlight w:val="none"/>
          <w:vertAlign w:val="baseline"/>
          <w:lang w:val="en-US" w:eastAsia="zh-CN"/>
        </w:rPr>
        <w:t xml:space="preserve">  3.2.1 项目概述：</w:t>
      </w:r>
      <w:r>
        <w:rPr>
          <w:rFonts w:ascii="仿宋" w:hAnsi="仿宋" w:eastAsia="仿宋" w:cs="仿宋"/>
          <w:color w:val="000000"/>
          <w:vertAlign w:val="baseline"/>
        </w:rPr>
        <w:t>依据《中华人民共和国民法典》、《中华人民共和国气象法》、《山东省气象灾害防御条例》《青岛市气象灾害防御条例》、《青岛市防雷减灾管理规定》及其他有关法律、法规的规定，对青岛市</w:t>
      </w:r>
      <w:r>
        <w:rPr>
          <w:rFonts w:hint="eastAsia" w:ascii="仿宋" w:hAnsi="仿宋" w:eastAsia="仿宋" w:cs="仿宋"/>
          <w:color w:val="000000"/>
          <w:vertAlign w:val="baseline"/>
        </w:rPr>
        <w:t>妇女儿童医院</w:t>
      </w:r>
      <w:r>
        <w:rPr>
          <w:rFonts w:hint="eastAsia" w:ascii="仿宋" w:hAnsi="仿宋" w:eastAsia="仿宋" w:cs="宋体"/>
          <w:color w:val="000000"/>
          <w:vertAlign w:val="baseline"/>
        </w:rPr>
        <w:t>辽阳路、海泊路、铁山路院区</w:t>
      </w:r>
      <w:r>
        <w:rPr>
          <w:rFonts w:ascii="仿宋" w:hAnsi="仿宋" w:eastAsia="仿宋" w:cs="仿宋"/>
          <w:color w:val="000000"/>
          <w:vertAlign w:val="baseline"/>
        </w:rPr>
        <w:t>内的设备、设施等开展雷电防护装置检测工作，包括但不限于：接地电阻检测、接闪器检测、引下线检测、等电位连接检测、浪涌保护器（SPD）检测、防雷器材检测等。</w:t>
      </w:r>
    </w:p>
    <w:p w14:paraId="580E19A6">
      <w:pPr>
        <w:spacing w:line="360" w:lineRule="auto"/>
        <w:rPr>
          <w:rFonts w:ascii="仿宋" w:hAnsi="仿宋" w:eastAsia="仿宋" w:cs="仿宋"/>
          <w:color w:val="000000"/>
          <w:vertAlign w:val="baseline"/>
        </w:rPr>
      </w:pPr>
      <w:r>
        <w:rPr>
          <w:rFonts w:hint="eastAsia" w:ascii="仿宋" w:hAnsi="仿宋" w:eastAsia="仿宋" w:cs="仿宋"/>
          <w:color w:val="000000"/>
          <w:vertAlign w:val="baseline"/>
          <w:lang w:val="en-US" w:eastAsia="zh-CN"/>
        </w:rPr>
        <w:t>3.2.2 采购需求：</w:t>
      </w:r>
      <w:r>
        <w:rPr>
          <w:rFonts w:ascii="仿宋" w:hAnsi="仿宋" w:eastAsia="仿宋" w:cs="仿宋"/>
          <w:color w:val="000000"/>
          <w:vertAlign w:val="baseline"/>
        </w:rPr>
        <w:t>检测按照建筑面积</w:t>
      </w:r>
      <w:r>
        <w:rPr>
          <w:rFonts w:hint="eastAsia" w:ascii="仿宋" w:hAnsi="仿宋" w:eastAsia="仿宋" w:cs="仿宋"/>
          <w:color w:val="000000"/>
          <w:vertAlign w:val="baseline"/>
        </w:rPr>
        <w:t>辽阳路院区</w:t>
      </w:r>
      <w:r>
        <w:rPr>
          <w:rFonts w:ascii="仿宋" w:hAnsi="仿宋" w:eastAsia="仿宋" w:cs="仿宋"/>
          <w:color w:val="000000"/>
          <w:vertAlign w:val="baseline"/>
        </w:rPr>
        <w:t>建筑面积为</w:t>
      </w:r>
      <w:r>
        <w:rPr>
          <w:rFonts w:ascii="仿宋" w:hAnsi="仿宋" w:eastAsia="仿宋" w:cs="仿宋"/>
          <w:vertAlign w:val="baseline"/>
        </w:rPr>
        <w:t>134726.74</w:t>
      </w:r>
      <w:r>
        <w:rPr>
          <w:rFonts w:ascii="仿宋" w:hAnsi="仿宋" w:eastAsia="仿宋" w:cs="仿宋"/>
          <w:color w:val="000000"/>
          <w:vertAlign w:val="baseline"/>
        </w:rPr>
        <w:t>平方米</w:t>
      </w:r>
      <w:r>
        <w:rPr>
          <w:rFonts w:hint="eastAsia" w:ascii="仿宋" w:hAnsi="仿宋" w:eastAsia="仿宋" w:cs="仿宋"/>
          <w:color w:val="000000"/>
          <w:vertAlign w:val="baseline"/>
        </w:rPr>
        <w:t>、</w:t>
      </w:r>
      <w:r>
        <w:rPr>
          <w:rFonts w:hint="eastAsia" w:ascii="仿宋" w:hAnsi="仿宋" w:eastAsia="仿宋" w:cs="宋体"/>
          <w:kern w:val="0"/>
          <w:vertAlign w:val="baseline"/>
        </w:rPr>
        <w:t>海泊路</w:t>
      </w:r>
      <w:r>
        <w:rPr>
          <w:rFonts w:ascii="仿宋" w:hAnsi="仿宋" w:eastAsia="仿宋" w:cs="宋体"/>
          <w:kern w:val="0"/>
          <w:vertAlign w:val="baseline"/>
        </w:rPr>
        <w:t>4483平方</w:t>
      </w:r>
      <w:r>
        <w:rPr>
          <w:rFonts w:hint="eastAsia" w:ascii="仿宋" w:hAnsi="仿宋" w:eastAsia="仿宋" w:cs="宋体"/>
          <w:kern w:val="0"/>
          <w:vertAlign w:val="baseline"/>
        </w:rPr>
        <w:t>米、铁山路</w:t>
      </w:r>
      <w:r>
        <w:rPr>
          <w:rFonts w:ascii="仿宋" w:hAnsi="仿宋" w:eastAsia="仿宋" w:cs="宋体"/>
          <w:kern w:val="0"/>
          <w:vertAlign w:val="baseline"/>
        </w:rPr>
        <w:t>8469.43平方</w:t>
      </w:r>
      <w:r>
        <w:rPr>
          <w:rFonts w:hint="eastAsia" w:ascii="仿宋" w:hAnsi="仿宋" w:eastAsia="仿宋" w:cs="宋体"/>
          <w:kern w:val="0"/>
          <w:vertAlign w:val="baseline"/>
        </w:rPr>
        <w:t>米</w:t>
      </w:r>
      <w:r>
        <w:rPr>
          <w:rFonts w:hint="eastAsia" w:ascii="仿宋" w:hAnsi="仿宋" w:eastAsia="仿宋" w:cs="宋体"/>
          <w:kern w:val="0"/>
          <w:vertAlign w:val="baseline"/>
          <w:lang w:eastAsia="zh-CN"/>
        </w:rPr>
        <w:t>。</w:t>
      </w:r>
      <w:r>
        <w:rPr>
          <w:rFonts w:hint="eastAsia" w:ascii="仿宋" w:hAnsi="仿宋" w:eastAsia="仿宋" w:cs="仿宋"/>
          <w:bCs/>
          <w:color w:val="auto"/>
          <w:sz w:val="24"/>
          <w:szCs w:val="24"/>
          <w:highlight w:val="none"/>
          <w:vertAlign w:val="baseline"/>
          <w:lang w:val="en-US" w:eastAsia="zh-CN"/>
        </w:rPr>
        <w:t>合同签订后，10个工作日内完成</w:t>
      </w:r>
      <w:r>
        <w:rPr>
          <w:rFonts w:hint="eastAsia" w:ascii="仿宋" w:hAnsi="仿宋" w:eastAsia="仿宋" w:cs="宋体"/>
          <w:kern w:val="0"/>
          <w:highlight w:val="none"/>
          <w:vertAlign w:val="baseline"/>
          <w:lang w:val="en-US" w:eastAsia="zh-CN"/>
        </w:rPr>
        <w:t>检测及</w:t>
      </w:r>
      <w:r>
        <w:rPr>
          <w:rFonts w:hint="eastAsia" w:ascii="仿宋" w:hAnsi="仿宋" w:eastAsia="仿宋" w:cs="仿宋"/>
          <w:bCs/>
          <w:color w:val="auto"/>
          <w:sz w:val="24"/>
          <w:szCs w:val="24"/>
          <w:highlight w:val="none"/>
          <w:vertAlign w:val="baseline"/>
          <w:lang w:val="en-US" w:eastAsia="zh-CN"/>
        </w:rPr>
        <w:t>检测报告编制</w:t>
      </w:r>
      <w:r>
        <w:rPr>
          <w:rFonts w:hint="eastAsia" w:ascii="仿宋" w:hAnsi="仿宋" w:eastAsia="仿宋" w:cs="宋体"/>
          <w:kern w:val="0"/>
          <w:highlight w:val="none"/>
          <w:vertAlign w:val="baseline"/>
          <w:lang w:val="en-US" w:eastAsia="zh-CN"/>
        </w:rPr>
        <w:t>，</w:t>
      </w:r>
      <w:r>
        <w:rPr>
          <w:rFonts w:hint="eastAsia" w:ascii="仿宋" w:hAnsi="仿宋" w:eastAsia="仿宋" w:cs="仿宋"/>
          <w:color w:val="000000"/>
          <w:highlight w:val="none"/>
          <w:vertAlign w:val="baseline"/>
        </w:rPr>
        <w:t>供</w:t>
      </w:r>
      <w:r>
        <w:rPr>
          <w:rFonts w:hint="eastAsia" w:ascii="仿宋" w:hAnsi="仿宋" w:eastAsia="仿宋" w:cs="仿宋"/>
          <w:color w:val="000000"/>
          <w:vertAlign w:val="baseline"/>
        </w:rPr>
        <w:t>应商</w:t>
      </w:r>
      <w:r>
        <w:rPr>
          <w:rFonts w:hint="eastAsia" w:ascii="仿宋" w:hAnsi="仿宋" w:eastAsia="仿宋" w:cs="仿宋"/>
          <w:color w:val="000000"/>
          <w:vertAlign w:val="baseline"/>
          <w:lang w:val="en-US" w:eastAsia="zh-CN"/>
        </w:rPr>
        <w:t>需</w:t>
      </w:r>
      <w:r>
        <w:rPr>
          <w:rFonts w:ascii="仿宋" w:hAnsi="仿宋" w:eastAsia="仿宋" w:cs="仿宋"/>
          <w:color w:val="000000"/>
          <w:vertAlign w:val="baseline"/>
        </w:rPr>
        <w:t>向</w:t>
      </w:r>
      <w:r>
        <w:rPr>
          <w:rFonts w:hint="eastAsia" w:ascii="仿宋" w:hAnsi="仿宋" w:eastAsia="仿宋" w:cs="仿宋"/>
          <w:color w:val="000000"/>
          <w:vertAlign w:val="baseline"/>
        </w:rPr>
        <w:t>采购人</w:t>
      </w:r>
      <w:r>
        <w:rPr>
          <w:rFonts w:ascii="仿宋" w:hAnsi="仿宋" w:eastAsia="仿宋" w:cs="仿宋"/>
          <w:color w:val="000000"/>
          <w:vertAlign w:val="baseline"/>
        </w:rPr>
        <w:t>提供符合国家法律法规及国家、行业及地方标准以及监管部门要求的正式纸质检测报告3份。</w:t>
      </w:r>
    </w:p>
    <w:p w14:paraId="55238FA7">
      <w:pPr>
        <w:spacing w:line="360" w:lineRule="auto"/>
        <w:rPr>
          <w:rFonts w:ascii="仿宋" w:hAnsi="仿宋" w:eastAsia="仿宋" w:cs="仿宋"/>
          <w:color w:val="000000"/>
          <w:vertAlign w:val="baseline"/>
        </w:rPr>
      </w:pPr>
      <w:r>
        <w:rPr>
          <w:rFonts w:hint="eastAsia" w:ascii="仿宋" w:hAnsi="仿宋" w:eastAsia="仿宋" w:cs="仿宋"/>
          <w:color w:val="000000"/>
          <w:vertAlign w:val="baseline"/>
          <w:lang w:val="en-US" w:eastAsia="zh-CN"/>
        </w:rPr>
        <w:t>3.2.3 技术要求：</w:t>
      </w:r>
      <w:r>
        <w:rPr>
          <w:rFonts w:hint="eastAsia" w:ascii="仿宋" w:hAnsi="仿宋" w:eastAsia="仿宋" w:cs="仿宋"/>
          <w:color w:val="000000"/>
          <w:vertAlign w:val="baseline"/>
        </w:rPr>
        <w:t>供应商具有</w:t>
      </w:r>
      <w:r>
        <w:rPr>
          <w:rFonts w:hint="eastAsia" w:ascii="仿宋" w:hAnsi="仿宋" w:eastAsia="仿宋" w:cs="宋体"/>
          <w:kern w:val="0"/>
          <w:vertAlign w:val="baseline"/>
        </w:rPr>
        <w:t>雷电防护装置检测及</w:t>
      </w:r>
      <w:r>
        <w:rPr>
          <w:rFonts w:hint="eastAsia" w:ascii="仿宋" w:hAnsi="仿宋" w:eastAsia="仿宋" w:cs="仿宋"/>
          <w:color w:val="000000"/>
          <w:vertAlign w:val="baseline"/>
        </w:rPr>
        <w:t>相关检测资质。供应商安排专业团队自带相关测试仪器，对采购人上述范围内进行防雷检测，并向采购人出具符合国家法律法规及国家、行业及地方标准以及监管部门要求的检测报告。检测工艺及出具的报告应符合气象灾害、防雷减灾等相关法律法规、地方法规，应符合采购人地方监管部门相关要求，应符合包括但不限于</w:t>
      </w:r>
      <w:r>
        <w:rPr>
          <w:rFonts w:ascii="仿宋" w:hAnsi="仿宋" w:eastAsia="仿宋" w:cs="仿宋"/>
          <w:color w:val="000000"/>
          <w:vertAlign w:val="baseline"/>
        </w:rPr>
        <w:t>GBT/T21431《建筑物防雷装置检测技术规范》；GB50057《建筑物防雷设计规范》；GB50343《建筑物电子信息系统防雷技术规范》等相关国家标准、行业标准及地方标准。</w:t>
      </w:r>
    </w:p>
    <w:p w14:paraId="39543DC3">
      <w:pPr>
        <w:spacing w:line="360" w:lineRule="auto"/>
        <w:rPr>
          <w:rFonts w:hint="default" w:ascii="仿宋" w:hAnsi="仿宋" w:eastAsia="仿宋" w:cs="仿宋"/>
          <w:color w:val="000000"/>
          <w:vertAlign w:val="baseline"/>
          <w:lang w:val="en-US" w:eastAsia="zh-CN"/>
        </w:rPr>
      </w:pPr>
      <w:r>
        <w:rPr>
          <w:rFonts w:hint="eastAsia" w:ascii="仿宋" w:hAnsi="仿宋" w:eastAsia="仿宋" w:cs="仿宋"/>
          <w:color w:val="000000"/>
          <w:vertAlign w:val="baseline"/>
          <w:lang w:val="en-US" w:eastAsia="zh-CN"/>
        </w:rPr>
        <w:t xml:space="preserve">3.3 </w:t>
      </w:r>
      <w:r>
        <w:rPr>
          <w:rFonts w:hint="eastAsia" w:ascii="仿宋" w:hAnsi="仿宋" w:eastAsia="仿宋" w:cs="仿宋"/>
          <w:color w:val="000000"/>
          <w:highlight w:val="none"/>
          <w:vertAlign w:val="baseline"/>
          <w:lang w:val="en-US" w:eastAsia="zh-CN"/>
        </w:rPr>
        <w:t>付款方式:出具正式报告，经归口部门验收合格后，一次性支付。</w:t>
      </w:r>
    </w:p>
    <w:p w14:paraId="39DFCA4D">
      <w:pPr>
        <w:spacing w:line="360" w:lineRule="auto"/>
        <w:rPr>
          <w:rFonts w:hint="default" w:ascii="仿宋" w:hAnsi="仿宋" w:eastAsia="仿宋" w:cs="仿宋"/>
          <w:color w:val="000000"/>
          <w:vertAlign w:val="baseline"/>
          <w:lang w:val="en-US" w:eastAsia="zh-CN"/>
        </w:rPr>
      </w:pPr>
    </w:p>
    <w:p w14:paraId="3D368BD2">
      <w:pPr>
        <w:spacing w:line="360" w:lineRule="auto"/>
        <w:rPr>
          <w:rFonts w:hint="default" w:ascii="仿宋" w:hAnsi="仿宋" w:eastAsia="仿宋" w:cs="仿宋"/>
          <w:color w:val="000000"/>
          <w:vertAlign w:val="baseli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11" w:name="_GoBack"/>
      <w:bookmarkEnd w:id="11"/>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1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3852"/>
        <w:gridCol w:w="2574"/>
        <w:gridCol w:w="4051"/>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441"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852"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服务名称</w:t>
            </w:r>
          </w:p>
        </w:tc>
        <w:tc>
          <w:tcPr>
            <w:tcW w:w="2574"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4051"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441"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852"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662AFFC1">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852"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6C7EFA1C">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7C045A0E">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6482EF7A">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30BB0D3C">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036F6EF9">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41"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0253F5B5">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3"/>
        <w:ind w:firstLine="482"/>
        <w:rPr>
          <w:rFonts w:hint="eastAsia" w:ascii="仿宋" w:hAnsi="仿宋" w:eastAsia="仿宋"/>
          <w:b/>
          <w:bCs/>
          <w:color w:val="auto"/>
          <w:kern w:val="1"/>
          <w:sz w:val="24"/>
          <w:szCs w:val="24"/>
          <w:highlight w:val="none"/>
        </w:rPr>
      </w:pPr>
    </w:p>
    <w:p w14:paraId="3B9863F5">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3"/>
        <w:ind w:firstLine="480"/>
        <w:rPr>
          <w:rFonts w:hint="eastAsia" w:ascii="仿宋" w:hAnsi="仿宋" w:eastAsia="仿宋"/>
          <w:color w:val="auto"/>
          <w:kern w:val="1"/>
          <w:sz w:val="24"/>
          <w:szCs w:val="24"/>
          <w:highlight w:val="none"/>
        </w:rPr>
      </w:pPr>
    </w:p>
    <w:p w14:paraId="4613F5F6">
      <w:pPr>
        <w:pStyle w:val="13"/>
        <w:ind w:firstLine="480"/>
        <w:rPr>
          <w:rFonts w:hint="eastAsia" w:ascii="仿宋" w:hAnsi="仿宋" w:eastAsia="仿宋"/>
          <w:color w:val="auto"/>
          <w:kern w:val="1"/>
          <w:sz w:val="24"/>
          <w:szCs w:val="24"/>
          <w:highlight w:val="none"/>
        </w:rPr>
      </w:pPr>
    </w:p>
    <w:p w14:paraId="11427BDC">
      <w:pPr>
        <w:pStyle w:val="13"/>
        <w:ind w:firstLine="480"/>
        <w:rPr>
          <w:rFonts w:hint="eastAsia" w:ascii="仿宋" w:hAnsi="仿宋" w:eastAsia="仿宋"/>
          <w:color w:val="auto"/>
          <w:kern w:val="1"/>
          <w:sz w:val="24"/>
          <w:szCs w:val="24"/>
          <w:highlight w:val="none"/>
        </w:rPr>
      </w:pPr>
    </w:p>
    <w:p w14:paraId="5E17B7DA">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14:paraId="37D8CA81">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14:paraId="77339990">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4"/>
          <w:rFonts w:hint="default" w:cs="仿宋"/>
          <w:color w:val="auto"/>
          <w:sz w:val="24"/>
          <w:szCs w:val="24"/>
          <w:highlight w:val="none"/>
          <w:vertAlign w:val="baseline"/>
          <w:lang w:val="en-US" w:eastAsia="zh-CN" w:bidi="ar-SA"/>
        </w:rPr>
      </w:pPr>
    </w:p>
    <w:p w14:paraId="2E159BC4">
      <w:pPr>
        <w:snapToGrid w:val="0"/>
        <w:spacing w:line="460" w:lineRule="exact"/>
        <w:jc w:val="right"/>
        <w:rPr>
          <w:rStyle w:val="14"/>
          <w:rFonts w:hint="default" w:cs="仿宋"/>
          <w:color w:val="auto"/>
          <w:sz w:val="24"/>
          <w:szCs w:val="24"/>
          <w:highlight w:val="none"/>
          <w:vertAlign w:val="baseline"/>
          <w:lang w:val="en-US" w:eastAsia="zh-CN" w:bidi="ar-SA"/>
        </w:rPr>
      </w:pPr>
    </w:p>
    <w:p w14:paraId="40364D4E">
      <w:pPr>
        <w:snapToGrid w:val="0"/>
        <w:spacing w:line="460" w:lineRule="exact"/>
        <w:jc w:val="right"/>
        <w:rPr>
          <w:rStyle w:val="14"/>
          <w:rFonts w:hint="default" w:cs="仿宋"/>
          <w:color w:val="auto"/>
          <w:sz w:val="24"/>
          <w:szCs w:val="24"/>
          <w:highlight w:val="none"/>
          <w:vertAlign w:val="baseline"/>
          <w:lang w:val="en-US" w:eastAsia="zh-CN" w:bidi="ar-SA"/>
        </w:rPr>
      </w:pPr>
    </w:p>
    <w:p w14:paraId="3860AC99">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63368337">
      <w:pPr>
        <w:pStyle w:val="12"/>
        <w:rPr>
          <w:rFonts w:hint="default"/>
          <w:lang w:val="en-US" w:eastAsia="zh-CN"/>
        </w:rPr>
      </w:pPr>
      <w:r>
        <w:rPr>
          <w:rFonts w:hint="eastAsia" w:ascii="仿宋" w:hAnsi="仿宋" w:eastAsia="仿宋" w:cs="宋体"/>
          <w:color w:val="auto"/>
          <w:kern w:val="0"/>
          <w:sz w:val="28"/>
          <w:szCs w:val="28"/>
          <w:highlight w:val="none"/>
          <w:vertAlign w:val="baseline"/>
          <w:lang w:val="en-US" w:eastAsia="zh-CN"/>
        </w:rPr>
        <w:t xml:space="preserve">    4、采购需求内需要提供的资质文件；</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B5C18E7">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059ADF57">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3"/>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0C4508"/>
    <w:rsid w:val="02372357"/>
    <w:rsid w:val="0270686F"/>
    <w:rsid w:val="02FA438B"/>
    <w:rsid w:val="03A222B6"/>
    <w:rsid w:val="04F9631F"/>
    <w:rsid w:val="052D3B24"/>
    <w:rsid w:val="056F4B59"/>
    <w:rsid w:val="05E857EE"/>
    <w:rsid w:val="063302DF"/>
    <w:rsid w:val="0715148C"/>
    <w:rsid w:val="080D3F91"/>
    <w:rsid w:val="08E053FD"/>
    <w:rsid w:val="0AC34A42"/>
    <w:rsid w:val="0B3C188E"/>
    <w:rsid w:val="0B603E17"/>
    <w:rsid w:val="0BC41F21"/>
    <w:rsid w:val="0D613984"/>
    <w:rsid w:val="0DDF5FF1"/>
    <w:rsid w:val="10D4626B"/>
    <w:rsid w:val="10FE42C5"/>
    <w:rsid w:val="110C12EC"/>
    <w:rsid w:val="11951E4E"/>
    <w:rsid w:val="12040D82"/>
    <w:rsid w:val="124D331C"/>
    <w:rsid w:val="12D55D1E"/>
    <w:rsid w:val="138A59A8"/>
    <w:rsid w:val="14096B23"/>
    <w:rsid w:val="14C76F80"/>
    <w:rsid w:val="15E12F09"/>
    <w:rsid w:val="164F7EBA"/>
    <w:rsid w:val="193E2DCB"/>
    <w:rsid w:val="196A6FCE"/>
    <w:rsid w:val="198F2D53"/>
    <w:rsid w:val="1A66082C"/>
    <w:rsid w:val="1A9A51D3"/>
    <w:rsid w:val="1AFD138A"/>
    <w:rsid w:val="1B2022C3"/>
    <w:rsid w:val="1D9D434C"/>
    <w:rsid w:val="1E663172"/>
    <w:rsid w:val="1EE838F2"/>
    <w:rsid w:val="223D2106"/>
    <w:rsid w:val="23E72ABF"/>
    <w:rsid w:val="25BA7C7E"/>
    <w:rsid w:val="26083FB3"/>
    <w:rsid w:val="270B08D2"/>
    <w:rsid w:val="279D1605"/>
    <w:rsid w:val="28397580"/>
    <w:rsid w:val="293D4E4D"/>
    <w:rsid w:val="294E055C"/>
    <w:rsid w:val="296E14AB"/>
    <w:rsid w:val="2AD16DE9"/>
    <w:rsid w:val="2BEF0CB6"/>
    <w:rsid w:val="2C4209CD"/>
    <w:rsid w:val="2CA31C32"/>
    <w:rsid w:val="2D375F5B"/>
    <w:rsid w:val="2E400F3C"/>
    <w:rsid w:val="2F3D5CA0"/>
    <w:rsid w:val="2FA8676C"/>
    <w:rsid w:val="320550BC"/>
    <w:rsid w:val="32936470"/>
    <w:rsid w:val="32CF25C1"/>
    <w:rsid w:val="33AA7021"/>
    <w:rsid w:val="34217DAB"/>
    <w:rsid w:val="359B6DED"/>
    <w:rsid w:val="35BB5A78"/>
    <w:rsid w:val="3627310D"/>
    <w:rsid w:val="3629649D"/>
    <w:rsid w:val="36D371B1"/>
    <w:rsid w:val="36F31241"/>
    <w:rsid w:val="37BC1633"/>
    <w:rsid w:val="387E2B20"/>
    <w:rsid w:val="39D46CF5"/>
    <w:rsid w:val="39FC3049"/>
    <w:rsid w:val="3ABA04DA"/>
    <w:rsid w:val="3AE076E5"/>
    <w:rsid w:val="3B007A89"/>
    <w:rsid w:val="3B071D45"/>
    <w:rsid w:val="3B4E3ED9"/>
    <w:rsid w:val="3B836DAA"/>
    <w:rsid w:val="3C114533"/>
    <w:rsid w:val="3C5A27F2"/>
    <w:rsid w:val="3C90162B"/>
    <w:rsid w:val="3CA737D7"/>
    <w:rsid w:val="3D141F11"/>
    <w:rsid w:val="3E6158D5"/>
    <w:rsid w:val="3EE31B9B"/>
    <w:rsid w:val="3F325A1F"/>
    <w:rsid w:val="40D21EC7"/>
    <w:rsid w:val="417E123A"/>
    <w:rsid w:val="42D00689"/>
    <w:rsid w:val="45D95AA6"/>
    <w:rsid w:val="46AE0CE1"/>
    <w:rsid w:val="47C40E4A"/>
    <w:rsid w:val="48AA548E"/>
    <w:rsid w:val="4973433F"/>
    <w:rsid w:val="49E45221"/>
    <w:rsid w:val="4ACE1753"/>
    <w:rsid w:val="4B26353C"/>
    <w:rsid w:val="4BAB1C93"/>
    <w:rsid w:val="4D84279B"/>
    <w:rsid w:val="4E056021"/>
    <w:rsid w:val="4F3F325D"/>
    <w:rsid w:val="51542485"/>
    <w:rsid w:val="51B81BA9"/>
    <w:rsid w:val="52074D56"/>
    <w:rsid w:val="539D45B7"/>
    <w:rsid w:val="556E3867"/>
    <w:rsid w:val="55CC1183"/>
    <w:rsid w:val="56F03878"/>
    <w:rsid w:val="57266671"/>
    <w:rsid w:val="5781308D"/>
    <w:rsid w:val="579E5CFB"/>
    <w:rsid w:val="5927777C"/>
    <w:rsid w:val="59396B30"/>
    <w:rsid w:val="5A4E2167"/>
    <w:rsid w:val="5AC74501"/>
    <w:rsid w:val="5B606E86"/>
    <w:rsid w:val="5B975D90"/>
    <w:rsid w:val="5C64301A"/>
    <w:rsid w:val="5EB4316B"/>
    <w:rsid w:val="5EF47BF5"/>
    <w:rsid w:val="5F9A5527"/>
    <w:rsid w:val="62402164"/>
    <w:rsid w:val="630006BE"/>
    <w:rsid w:val="632F44C3"/>
    <w:rsid w:val="64F462FB"/>
    <w:rsid w:val="66900CD4"/>
    <w:rsid w:val="671D6BBF"/>
    <w:rsid w:val="67984FF5"/>
    <w:rsid w:val="67C63C85"/>
    <w:rsid w:val="68123677"/>
    <w:rsid w:val="68DD679C"/>
    <w:rsid w:val="6994515E"/>
    <w:rsid w:val="69EA1A96"/>
    <w:rsid w:val="6C1D7BEB"/>
    <w:rsid w:val="6D773183"/>
    <w:rsid w:val="6E560129"/>
    <w:rsid w:val="6E713C29"/>
    <w:rsid w:val="6F137C43"/>
    <w:rsid w:val="6FC333AA"/>
    <w:rsid w:val="701F03D6"/>
    <w:rsid w:val="70D01EC6"/>
    <w:rsid w:val="71723597"/>
    <w:rsid w:val="727C6025"/>
    <w:rsid w:val="7315161C"/>
    <w:rsid w:val="735E7467"/>
    <w:rsid w:val="73BF3D9C"/>
    <w:rsid w:val="746F4078"/>
    <w:rsid w:val="74C4779E"/>
    <w:rsid w:val="75570F51"/>
    <w:rsid w:val="75E4177A"/>
    <w:rsid w:val="764741E2"/>
    <w:rsid w:val="77183DD1"/>
    <w:rsid w:val="77601667"/>
    <w:rsid w:val="78264E7D"/>
    <w:rsid w:val="784371B5"/>
    <w:rsid w:val="787E5EB6"/>
    <w:rsid w:val="78D2700F"/>
    <w:rsid w:val="79A00BB8"/>
    <w:rsid w:val="7A1B676B"/>
    <w:rsid w:val="7A811E80"/>
    <w:rsid w:val="7B223BA3"/>
    <w:rsid w:val="7B3867F0"/>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0"/>
    <w:qFormat/>
    <w:uiPriority w:val="0"/>
    <w:rPr>
      <w:rFonts w:hint="eastAsia" w:ascii="黑体" w:hAnsi="宋体" w:eastAsia="黑体" w:cs="黑体"/>
      <w:color w:val="000000"/>
      <w:sz w:val="36"/>
      <w:szCs w:val="36"/>
      <w:u w:val="none"/>
    </w:rPr>
  </w:style>
  <w:style w:type="character" w:customStyle="1" w:styleId="16">
    <w:name w:val="font61"/>
    <w:basedOn w:val="10"/>
    <w:qFormat/>
    <w:uiPriority w:val="0"/>
    <w:rPr>
      <w:rFonts w:ascii="楷体" w:hAnsi="楷体" w:eastAsia="楷体" w:cs="楷体"/>
      <w:color w:val="000000"/>
      <w:sz w:val="28"/>
      <w:szCs w:val="28"/>
      <w:u w:val="none"/>
    </w:rPr>
  </w:style>
  <w:style w:type="character" w:customStyle="1" w:styleId="17">
    <w:name w:val="font41"/>
    <w:basedOn w:val="10"/>
    <w:qFormat/>
    <w:uiPriority w:val="0"/>
    <w:rPr>
      <w:rFonts w:hint="eastAsia" w:ascii="宋体" w:hAnsi="宋体" w:eastAsia="宋体" w:cs="宋体"/>
      <w:color w:val="000000"/>
      <w:sz w:val="24"/>
      <w:szCs w:val="24"/>
      <w:u w:val="none"/>
    </w:rPr>
  </w:style>
  <w:style w:type="character" w:customStyle="1" w:styleId="18">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3837</Words>
  <Characters>4146</Characters>
  <Lines>0</Lines>
  <Paragraphs>0</Paragraphs>
  <TotalTime>8</TotalTime>
  <ScaleCrop>false</ScaleCrop>
  <LinksUpToDate>false</LinksUpToDate>
  <CharactersWithSpaces>4610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2026-08-03T08:23:32Z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